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C4" w:rsidRDefault="008A7B1D">
      <w:r w:rsidRPr="008A7B1D">
        <w:rPr>
          <w:noProof/>
        </w:rPr>
        <w:drawing>
          <wp:inline distT="0" distB="0" distL="0" distR="0">
            <wp:extent cx="5522630" cy="1347215"/>
            <wp:effectExtent l="0" t="0" r="0" b="0"/>
            <wp:docPr id="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6" cstate="print"/>
                    <a:stretch>
                      <a:fillRect/>
                    </a:stretch>
                  </pic:blipFill>
                  <pic:spPr>
                    <a:xfrm>
                      <a:off x="0" y="0"/>
                      <a:ext cx="5522630" cy="1347215"/>
                    </a:xfrm>
                    <a:prstGeom prst="rect">
                      <a:avLst/>
                    </a:prstGeom>
                  </pic:spPr>
                </pic:pic>
              </a:graphicData>
            </a:graphic>
          </wp:inline>
        </w:drawing>
      </w:r>
    </w:p>
    <w:p w:rsidR="008A7B1D" w:rsidRDefault="008A7B1D"/>
    <w:p w:rsidR="008A7B1D" w:rsidRDefault="008A7B1D"/>
    <w:p w:rsidR="008A7B1D" w:rsidRPr="0075007A" w:rsidRDefault="008A7B1D" w:rsidP="008A7B1D">
      <w:pPr>
        <w:pStyle w:val="Heading1"/>
        <w:spacing w:before="215"/>
      </w:pPr>
      <w:r w:rsidRPr="0075007A">
        <w:rPr>
          <w:color w:val="231F20"/>
        </w:rPr>
        <w:t>INTRODUCTION</w:t>
      </w:r>
    </w:p>
    <w:p w:rsidR="008A7B1D" w:rsidRPr="0075007A" w:rsidRDefault="008A7B1D" w:rsidP="008A7B1D">
      <w:pPr>
        <w:pStyle w:val="BodyText"/>
        <w:spacing w:before="90" w:line="256" w:lineRule="auto"/>
        <w:ind w:left="160" w:right="1498"/>
        <w:jc w:val="both"/>
        <w:rPr>
          <w:sz w:val="24"/>
          <w:szCs w:val="24"/>
        </w:rPr>
      </w:pPr>
      <w:r w:rsidRPr="0075007A">
        <w:rPr>
          <w:color w:val="231F20"/>
          <w:sz w:val="24"/>
          <w:szCs w:val="24"/>
        </w:rPr>
        <w:t>Financial decision is one of the integral and important parts of financial management in   any kind of business concern. A sound financial decision must consider the board coverage of</w:t>
      </w:r>
      <w:r w:rsidRPr="0075007A">
        <w:rPr>
          <w:color w:val="231F20"/>
          <w:spacing w:val="15"/>
          <w:sz w:val="24"/>
          <w:szCs w:val="24"/>
        </w:rPr>
        <w:t xml:space="preserve"> </w:t>
      </w:r>
      <w:r w:rsidRPr="0075007A">
        <w:rPr>
          <w:color w:val="231F20"/>
          <w:sz w:val="24"/>
          <w:szCs w:val="24"/>
        </w:rPr>
        <w:t>the</w:t>
      </w:r>
      <w:r w:rsidRPr="0075007A">
        <w:rPr>
          <w:color w:val="231F20"/>
          <w:spacing w:val="15"/>
          <w:sz w:val="24"/>
          <w:szCs w:val="24"/>
        </w:rPr>
        <w:t xml:space="preserve"> </w:t>
      </w:r>
      <w:r w:rsidRPr="0075007A">
        <w:rPr>
          <w:color w:val="231F20"/>
          <w:sz w:val="24"/>
          <w:szCs w:val="24"/>
        </w:rPr>
        <w:t>financial</w:t>
      </w:r>
      <w:r w:rsidRPr="0075007A">
        <w:rPr>
          <w:color w:val="231F20"/>
          <w:spacing w:val="15"/>
          <w:sz w:val="24"/>
          <w:szCs w:val="24"/>
        </w:rPr>
        <w:t xml:space="preserve"> </w:t>
      </w:r>
      <w:r w:rsidRPr="0075007A">
        <w:rPr>
          <w:color w:val="231F20"/>
          <w:sz w:val="24"/>
          <w:szCs w:val="24"/>
        </w:rPr>
        <w:t>mix</w:t>
      </w:r>
      <w:r w:rsidRPr="0075007A">
        <w:rPr>
          <w:color w:val="231F20"/>
          <w:spacing w:val="16"/>
          <w:sz w:val="24"/>
          <w:szCs w:val="24"/>
        </w:rPr>
        <w:t xml:space="preserve"> </w:t>
      </w:r>
      <w:r w:rsidRPr="0075007A">
        <w:rPr>
          <w:color w:val="231F20"/>
          <w:sz w:val="24"/>
          <w:szCs w:val="24"/>
        </w:rPr>
        <w:t>(Capital</w:t>
      </w:r>
      <w:r w:rsidRPr="0075007A">
        <w:rPr>
          <w:color w:val="231F20"/>
          <w:spacing w:val="15"/>
          <w:sz w:val="24"/>
          <w:szCs w:val="24"/>
        </w:rPr>
        <w:t xml:space="preserve"> </w:t>
      </w:r>
      <w:r w:rsidRPr="0075007A">
        <w:rPr>
          <w:color w:val="231F20"/>
          <w:sz w:val="24"/>
          <w:szCs w:val="24"/>
        </w:rPr>
        <w:t>Structure),</w:t>
      </w:r>
      <w:r w:rsidRPr="0075007A">
        <w:rPr>
          <w:color w:val="231F20"/>
          <w:spacing w:val="15"/>
          <w:sz w:val="24"/>
          <w:szCs w:val="24"/>
        </w:rPr>
        <w:t xml:space="preserve"> </w:t>
      </w:r>
      <w:r w:rsidRPr="0075007A">
        <w:rPr>
          <w:color w:val="231F20"/>
          <w:sz w:val="24"/>
          <w:szCs w:val="24"/>
        </w:rPr>
        <w:t>total</w:t>
      </w:r>
      <w:r w:rsidRPr="0075007A">
        <w:rPr>
          <w:color w:val="231F20"/>
          <w:spacing w:val="16"/>
          <w:sz w:val="24"/>
          <w:szCs w:val="24"/>
        </w:rPr>
        <w:t xml:space="preserve"> </w:t>
      </w:r>
      <w:r w:rsidRPr="0075007A">
        <w:rPr>
          <w:color w:val="231F20"/>
          <w:sz w:val="24"/>
          <w:szCs w:val="24"/>
        </w:rPr>
        <w:t>amount</w:t>
      </w:r>
      <w:r w:rsidRPr="0075007A">
        <w:rPr>
          <w:color w:val="231F20"/>
          <w:spacing w:val="15"/>
          <w:sz w:val="24"/>
          <w:szCs w:val="24"/>
        </w:rPr>
        <w:t xml:space="preserve"> </w:t>
      </w:r>
      <w:r w:rsidRPr="0075007A">
        <w:rPr>
          <w:color w:val="231F20"/>
          <w:sz w:val="24"/>
          <w:szCs w:val="24"/>
        </w:rPr>
        <w:t>of</w:t>
      </w:r>
      <w:r w:rsidRPr="0075007A">
        <w:rPr>
          <w:color w:val="231F20"/>
          <w:spacing w:val="15"/>
          <w:sz w:val="24"/>
          <w:szCs w:val="24"/>
        </w:rPr>
        <w:t xml:space="preserve"> </w:t>
      </w:r>
      <w:r w:rsidRPr="0075007A">
        <w:rPr>
          <w:color w:val="231F20"/>
          <w:sz w:val="24"/>
          <w:szCs w:val="24"/>
        </w:rPr>
        <w:t>capital</w:t>
      </w:r>
      <w:r w:rsidRPr="0075007A">
        <w:rPr>
          <w:color w:val="231F20"/>
          <w:spacing w:val="16"/>
          <w:sz w:val="24"/>
          <w:szCs w:val="24"/>
        </w:rPr>
        <w:t xml:space="preserve"> </w:t>
      </w:r>
      <w:r w:rsidRPr="0075007A">
        <w:rPr>
          <w:color w:val="231F20"/>
          <w:sz w:val="24"/>
          <w:szCs w:val="24"/>
        </w:rPr>
        <w:t>(capitalization)</w:t>
      </w:r>
      <w:r w:rsidRPr="0075007A">
        <w:rPr>
          <w:color w:val="231F20"/>
          <w:spacing w:val="15"/>
          <w:sz w:val="24"/>
          <w:szCs w:val="24"/>
        </w:rPr>
        <w:t xml:space="preserve"> </w:t>
      </w:r>
      <w:r w:rsidRPr="0075007A">
        <w:rPr>
          <w:color w:val="231F20"/>
          <w:sz w:val="24"/>
          <w:szCs w:val="24"/>
        </w:rPr>
        <w:t>and</w:t>
      </w:r>
      <w:r w:rsidRPr="0075007A">
        <w:rPr>
          <w:color w:val="231F20"/>
          <w:spacing w:val="15"/>
          <w:sz w:val="24"/>
          <w:szCs w:val="24"/>
        </w:rPr>
        <w:t xml:space="preserve"> </w:t>
      </w:r>
      <w:r w:rsidRPr="0075007A">
        <w:rPr>
          <w:color w:val="231F20"/>
          <w:sz w:val="24"/>
          <w:szCs w:val="24"/>
        </w:rPr>
        <w:t>cost</w:t>
      </w:r>
      <w:r w:rsidRPr="0075007A">
        <w:rPr>
          <w:color w:val="231F20"/>
          <w:spacing w:val="16"/>
          <w:sz w:val="24"/>
          <w:szCs w:val="24"/>
        </w:rPr>
        <w:t xml:space="preserve"> </w:t>
      </w:r>
      <w:r w:rsidRPr="0075007A">
        <w:rPr>
          <w:color w:val="231F20"/>
          <w:sz w:val="24"/>
          <w:szCs w:val="24"/>
        </w:rPr>
        <w:t>of</w:t>
      </w:r>
    </w:p>
    <w:p w:rsidR="008A7B1D" w:rsidRPr="0075007A" w:rsidRDefault="008A7B1D" w:rsidP="008A7B1D">
      <w:pPr>
        <w:pStyle w:val="BodyText"/>
        <w:spacing w:before="6" w:line="235" w:lineRule="auto"/>
        <w:ind w:left="159" w:right="1496"/>
        <w:jc w:val="both"/>
        <w:rPr>
          <w:sz w:val="24"/>
          <w:szCs w:val="24"/>
        </w:rPr>
      </w:pPr>
      <w:r w:rsidRPr="0075007A">
        <w:rPr>
          <w:color w:val="231F20"/>
          <w:sz w:val="24"/>
          <w:szCs w:val="24"/>
        </w:rPr>
        <w:t>capital (K</w:t>
      </w:r>
      <w:r w:rsidRPr="0075007A">
        <w:rPr>
          <w:color w:val="231F20"/>
          <w:position w:val="-6"/>
          <w:sz w:val="24"/>
          <w:szCs w:val="24"/>
        </w:rPr>
        <w:t>o</w:t>
      </w:r>
      <w:r w:rsidRPr="0075007A">
        <w:rPr>
          <w:color w:val="231F20"/>
          <w:sz w:val="24"/>
          <w:szCs w:val="24"/>
        </w:rPr>
        <w:t>). Capital structure is one of the significant things for the management, since it influences the debt equity mix of the business concern, which affects the shareholder’s</w:t>
      </w:r>
      <w:bookmarkStart w:id="0" w:name="Definition_of_Leverage"/>
      <w:bookmarkStart w:id="1" w:name="Types_of_Leverage"/>
      <w:bookmarkEnd w:id="0"/>
      <w:bookmarkEnd w:id="1"/>
      <w:r w:rsidRPr="0075007A">
        <w:rPr>
          <w:color w:val="231F20"/>
          <w:sz w:val="24"/>
          <w:szCs w:val="24"/>
        </w:rPr>
        <w:t xml:space="preserve"> return and risk. Hence, deciding the debt-equity mix plays a major role in the part of the</w:t>
      </w:r>
    </w:p>
    <w:p w:rsidR="008A7B1D" w:rsidRPr="0075007A" w:rsidRDefault="008A7B1D" w:rsidP="008A7B1D">
      <w:pPr>
        <w:pStyle w:val="BodyText"/>
        <w:spacing w:before="14" w:line="259" w:lineRule="auto"/>
        <w:ind w:left="159" w:right="1498"/>
        <w:jc w:val="both"/>
        <w:rPr>
          <w:sz w:val="24"/>
          <w:szCs w:val="24"/>
        </w:rPr>
      </w:pPr>
      <w:r w:rsidRPr="0075007A">
        <w:rPr>
          <w:color w:val="231F20"/>
          <w:sz w:val="24"/>
          <w:szCs w:val="24"/>
        </w:rPr>
        <w:t>value of the company and market value of the shares. The debt equity mix of the company can be examined with the help of leverage.</w:t>
      </w:r>
    </w:p>
    <w:p w:rsidR="008A7B1D" w:rsidRPr="0075007A" w:rsidRDefault="008A7B1D" w:rsidP="008A7B1D">
      <w:pPr>
        <w:pStyle w:val="BodyText"/>
        <w:spacing w:before="91" w:line="273" w:lineRule="auto"/>
        <w:ind w:left="159" w:right="1498" w:firstLine="359"/>
        <w:jc w:val="both"/>
        <w:rPr>
          <w:sz w:val="24"/>
          <w:szCs w:val="24"/>
        </w:rPr>
      </w:pPr>
      <w:r w:rsidRPr="0075007A">
        <w:rPr>
          <w:color w:val="231F20"/>
          <w:sz w:val="24"/>
          <w:szCs w:val="24"/>
        </w:rPr>
        <w:t>The</w:t>
      </w:r>
      <w:r w:rsidRPr="0075007A">
        <w:rPr>
          <w:color w:val="231F20"/>
          <w:spacing w:val="-13"/>
          <w:sz w:val="24"/>
          <w:szCs w:val="24"/>
        </w:rPr>
        <w:t xml:space="preserve"> </w:t>
      </w:r>
      <w:r w:rsidRPr="0075007A">
        <w:rPr>
          <w:color w:val="231F20"/>
          <w:sz w:val="24"/>
          <w:szCs w:val="24"/>
        </w:rPr>
        <w:t>concept</w:t>
      </w:r>
      <w:r w:rsidRPr="0075007A">
        <w:rPr>
          <w:color w:val="231F20"/>
          <w:spacing w:val="-12"/>
          <w:sz w:val="24"/>
          <w:szCs w:val="24"/>
        </w:rPr>
        <w:t xml:space="preserve"> </w:t>
      </w:r>
      <w:r w:rsidRPr="0075007A">
        <w:rPr>
          <w:color w:val="231F20"/>
          <w:sz w:val="24"/>
          <w:szCs w:val="24"/>
        </w:rPr>
        <w:t>of</w:t>
      </w:r>
      <w:r w:rsidRPr="0075007A">
        <w:rPr>
          <w:color w:val="231F20"/>
          <w:spacing w:val="-13"/>
          <w:sz w:val="24"/>
          <w:szCs w:val="24"/>
        </w:rPr>
        <w:t xml:space="preserve"> </w:t>
      </w:r>
      <w:r w:rsidRPr="0075007A">
        <w:rPr>
          <w:color w:val="231F20"/>
          <w:sz w:val="24"/>
          <w:szCs w:val="24"/>
        </w:rPr>
        <w:t>leverage</w:t>
      </w:r>
      <w:r w:rsidRPr="0075007A">
        <w:rPr>
          <w:color w:val="231F20"/>
          <w:spacing w:val="-13"/>
          <w:sz w:val="24"/>
          <w:szCs w:val="24"/>
        </w:rPr>
        <w:t xml:space="preserve"> </w:t>
      </w:r>
      <w:r w:rsidRPr="0075007A">
        <w:rPr>
          <w:color w:val="231F20"/>
          <w:sz w:val="24"/>
          <w:szCs w:val="24"/>
        </w:rPr>
        <w:t>is</w:t>
      </w:r>
      <w:r w:rsidRPr="0075007A">
        <w:rPr>
          <w:color w:val="231F20"/>
          <w:spacing w:val="-12"/>
          <w:sz w:val="24"/>
          <w:szCs w:val="24"/>
        </w:rPr>
        <w:t xml:space="preserve"> </w:t>
      </w:r>
      <w:r w:rsidRPr="0075007A">
        <w:rPr>
          <w:color w:val="231F20"/>
          <w:sz w:val="24"/>
          <w:szCs w:val="24"/>
        </w:rPr>
        <w:t>discussed</w:t>
      </w:r>
      <w:r w:rsidRPr="0075007A">
        <w:rPr>
          <w:color w:val="231F20"/>
          <w:spacing w:val="-13"/>
          <w:sz w:val="24"/>
          <w:szCs w:val="24"/>
        </w:rPr>
        <w:t xml:space="preserve"> </w:t>
      </w:r>
      <w:r w:rsidRPr="0075007A">
        <w:rPr>
          <w:color w:val="231F20"/>
          <w:sz w:val="24"/>
          <w:szCs w:val="24"/>
        </w:rPr>
        <w:t>in</w:t>
      </w:r>
      <w:r w:rsidRPr="0075007A">
        <w:rPr>
          <w:color w:val="231F20"/>
          <w:spacing w:val="-12"/>
          <w:sz w:val="24"/>
          <w:szCs w:val="24"/>
        </w:rPr>
        <w:t xml:space="preserve"> </w:t>
      </w:r>
      <w:r w:rsidRPr="0075007A">
        <w:rPr>
          <w:color w:val="231F20"/>
          <w:sz w:val="24"/>
          <w:szCs w:val="24"/>
        </w:rPr>
        <w:t>this</w:t>
      </w:r>
      <w:r w:rsidRPr="0075007A">
        <w:rPr>
          <w:color w:val="231F20"/>
          <w:spacing w:val="-13"/>
          <w:sz w:val="24"/>
          <w:szCs w:val="24"/>
        </w:rPr>
        <w:t xml:space="preserve"> </w:t>
      </w:r>
      <w:r w:rsidRPr="0075007A">
        <w:rPr>
          <w:color w:val="231F20"/>
          <w:sz w:val="24"/>
          <w:szCs w:val="24"/>
        </w:rPr>
        <w:t>part.</w:t>
      </w:r>
      <w:r w:rsidRPr="0075007A">
        <w:rPr>
          <w:color w:val="231F20"/>
          <w:spacing w:val="-12"/>
          <w:sz w:val="24"/>
          <w:szCs w:val="24"/>
        </w:rPr>
        <w:t xml:space="preserve"> </w:t>
      </w:r>
      <w:r w:rsidRPr="0075007A">
        <w:rPr>
          <w:color w:val="231F20"/>
          <w:sz w:val="24"/>
          <w:szCs w:val="24"/>
        </w:rPr>
        <w:t>Types</w:t>
      </w:r>
      <w:r w:rsidRPr="0075007A">
        <w:rPr>
          <w:color w:val="231F20"/>
          <w:spacing w:val="-13"/>
          <w:sz w:val="24"/>
          <w:szCs w:val="24"/>
        </w:rPr>
        <w:t xml:space="preserve"> </w:t>
      </w:r>
      <w:r w:rsidRPr="0075007A">
        <w:rPr>
          <w:color w:val="231F20"/>
          <w:sz w:val="24"/>
          <w:szCs w:val="24"/>
        </w:rPr>
        <w:t>and</w:t>
      </w:r>
      <w:r w:rsidRPr="0075007A">
        <w:rPr>
          <w:color w:val="231F20"/>
          <w:spacing w:val="-12"/>
          <w:sz w:val="24"/>
          <w:szCs w:val="24"/>
        </w:rPr>
        <w:t xml:space="preserve"> </w:t>
      </w:r>
      <w:r w:rsidRPr="0075007A">
        <w:rPr>
          <w:color w:val="231F20"/>
          <w:sz w:val="24"/>
          <w:szCs w:val="24"/>
        </w:rPr>
        <w:t>effects</w:t>
      </w:r>
      <w:r w:rsidRPr="0075007A">
        <w:rPr>
          <w:color w:val="231F20"/>
          <w:spacing w:val="-13"/>
          <w:sz w:val="24"/>
          <w:szCs w:val="24"/>
        </w:rPr>
        <w:t xml:space="preserve"> </w:t>
      </w:r>
      <w:r w:rsidRPr="0075007A">
        <w:rPr>
          <w:color w:val="231F20"/>
          <w:sz w:val="24"/>
          <w:szCs w:val="24"/>
        </w:rPr>
        <w:t>of</w:t>
      </w:r>
      <w:r w:rsidRPr="0075007A">
        <w:rPr>
          <w:color w:val="231F20"/>
          <w:spacing w:val="-12"/>
          <w:sz w:val="24"/>
          <w:szCs w:val="24"/>
        </w:rPr>
        <w:t xml:space="preserve"> </w:t>
      </w:r>
      <w:r w:rsidRPr="0075007A">
        <w:rPr>
          <w:color w:val="231F20"/>
          <w:sz w:val="24"/>
          <w:szCs w:val="24"/>
        </w:rPr>
        <w:t>leverage</w:t>
      </w:r>
      <w:r w:rsidRPr="0075007A">
        <w:rPr>
          <w:color w:val="231F20"/>
          <w:spacing w:val="-13"/>
          <w:sz w:val="24"/>
          <w:szCs w:val="24"/>
        </w:rPr>
        <w:t xml:space="preserve"> </w:t>
      </w:r>
      <w:r w:rsidRPr="0075007A">
        <w:rPr>
          <w:color w:val="231F20"/>
          <w:sz w:val="24"/>
          <w:szCs w:val="24"/>
        </w:rPr>
        <w:t>is</w:t>
      </w:r>
      <w:r w:rsidRPr="0075007A">
        <w:rPr>
          <w:color w:val="231F20"/>
          <w:spacing w:val="-12"/>
          <w:sz w:val="24"/>
          <w:szCs w:val="24"/>
        </w:rPr>
        <w:t xml:space="preserve"> </w:t>
      </w:r>
      <w:r w:rsidRPr="0075007A">
        <w:rPr>
          <w:color w:val="231F20"/>
          <w:sz w:val="24"/>
          <w:szCs w:val="24"/>
        </w:rPr>
        <w:t>discussed in</w:t>
      </w:r>
      <w:r w:rsidRPr="0075007A">
        <w:rPr>
          <w:color w:val="231F20"/>
          <w:spacing w:val="21"/>
          <w:sz w:val="24"/>
          <w:szCs w:val="24"/>
        </w:rPr>
        <w:t xml:space="preserve"> </w:t>
      </w:r>
      <w:r w:rsidRPr="0075007A">
        <w:rPr>
          <w:color w:val="231F20"/>
          <w:sz w:val="24"/>
          <w:szCs w:val="24"/>
        </w:rPr>
        <w:t>the</w:t>
      </w:r>
      <w:r w:rsidRPr="0075007A">
        <w:rPr>
          <w:color w:val="231F20"/>
          <w:spacing w:val="22"/>
          <w:sz w:val="24"/>
          <w:szCs w:val="24"/>
        </w:rPr>
        <w:t xml:space="preserve"> </w:t>
      </w:r>
      <w:r w:rsidRPr="0075007A">
        <w:rPr>
          <w:color w:val="231F20"/>
          <w:sz w:val="24"/>
          <w:szCs w:val="24"/>
        </w:rPr>
        <w:t>part</w:t>
      </w:r>
      <w:r w:rsidRPr="0075007A">
        <w:rPr>
          <w:color w:val="231F20"/>
          <w:spacing w:val="22"/>
          <w:sz w:val="24"/>
          <w:szCs w:val="24"/>
        </w:rPr>
        <w:t xml:space="preserve"> </w:t>
      </w:r>
      <w:r w:rsidRPr="0075007A">
        <w:rPr>
          <w:color w:val="231F20"/>
          <w:sz w:val="24"/>
          <w:szCs w:val="24"/>
        </w:rPr>
        <w:t>of</w:t>
      </w:r>
      <w:r w:rsidRPr="0075007A">
        <w:rPr>
          <w:color w:val="231F20"/>
          <w:spacing w:val="22"/>
          <w:sz w:val="24"/>
          <w:szCs w:val="24"/>
        </w:rPr>
        <w:t xml:space="preserve"> </w:t>
      </w:r>
      <w:r w:rsidRPr="0075007A">
        <w:rPr>
          <w:color w:val="231F20"/>
          <w:sz w:val="24"/>
          <w:szCs w:val="24"/>
        </w:rPr>
        <w:t>EBIT</w:t>
      </w:r>
      <w:r w:rsidRPr="0075007A">
        <w:rPr>
          <w:color w:val="231F20"/>
          <w:spacing w:val="22"/>
          <w:sz w:val="24"/>
          <w:szCs w:val="24"/>
        </w:rPr>
        <w:t xml:space="preserve"> </w:t>
      </w:r>
      <w:r w:rsidRPr="0075007A">
        <w:rPr>
          <w:color w:val="231F20"/>
          <w:sz w:val="24"/>
          <w:szCs w:val="24"/>
        </w:rPr>
        <w:t>and</w:t>
      </w:r>
      <w:r w:rsidRPr="0075007A">
        <w:rPr>
          <w:color w:val="231F20"/>
          <w:spacing w:val="22"/>
          <w:sz w:val="24"/>
          <w:szCs w:val="24"/>
        </w:rPr>
        <w:t xml:space="preserve"> </w:t>
      </w:r>
      <w:r w:rsidRPr="0075007A">
        <w:rPr>
          <w:color w:val="231F20"/>
          <w:sz w:val="24"/>
          <w:szCs w:val="24"/>
        </w:rPr>
        <w:t>EPS.</w:t>
      </w:r>
    </w:p>
    <w:p w:rsidR="0075007A" w:rsidRDefault="0075007A" w:rsidP="008A7B1D">
      <w:pPr>
        <w:pStyle w:val="Heading2"/>
        <w:spacing w:before="140"/>
        <w:ind w:left="159"/>
        <w:rPr>
          <w:color w:val="231F20"/>
          <w:sz w:val="24"/>
          <w:szCs w:val="24"/>
        </w:rPr>
      </w:pPr>
      <w:bookmarkStart w:id="2" w:name="_TOC_250307"/>
      <w:bookmarkEnd w:id="2"/>
    </w:p>
    <w:p w:rsidR="008A7B1D" w:rsidRPr="0075007A" w:rsidRDefault="008A7B1D" w:rsidP="008A7B1D">
      <w:pPr>
        <w:pStyle w:val="Heading2"/>
        <w:spacing w:before="140"/>
        <w:ind w:left="159"/>
        <w:rPr>
          <w:sz w:val="24"/>
          <w:szCs w:val="24"/>
        </w:rPr>
      </w:pPr>
      <w:r w:rsidRPr="0075007A">
        <w:rPr>
          <w:color w:val="231F20"/>
          <w:sz w:val="24"/>
          <w:szCs w:val="24"/>
        </w:rPr>
        <w:t>Meaning of Leverage</w:t>
      </w:r>
    </w:p>
    <w:p w:rsidR="008A7B1D" w:rsidRPr="0075007A" w:rsidRDefault="008A7B1D" w:rsidP="008A7B1D">
      <w:pPr>
        <w:pStyle w:val="BodyText"/>
        <w:spacing w:before="75" w:line="271" w:lineRule="auto"/>
        <w:ind w:left="159" w:right="1497"/>
        <w:jc w:val="both"/>
        <w:rPr>
          <w:sz w:val="24"/>
          <w:szCs w:val="24"/>
        </w:rPr>
      </w:pPr>
      <w:r w:rsidRPr="0075007A">
        <w:rPr>
          <w:color w:val="231F20"/>
          <w:sz w:val="24"/>
          <w:szCs w:val="24"/>
        </w:rPr>
        <w:t xml:space="preserve">The term leverage refers to an increased means of accomplishing some purpose. Leverage  is used to lifting heavy objects, which may not be otherwise possible. In the financial point of </w:t>
      </w:r>
      <w:r w:rsidRPr="0075007A">
        <w:rPr>
          <w:color w:val="231F20"/>
          <w:spacing w:val="-5"/>
          <w:sz w:val="24"/>
          <w:szCs w:val="24"/>
        </w:rPr>
        <w:t xml:space="preserve">view,  </w:t>
      </w:r>
      <w:r w:rsidRPr="0075007A">
        <w:rPr>
          <w:color w:val="231F20"/>
          <w:sz w:val="24"/>
          <w:szCs w:val="24"/>
        </w:rPr>
        <w:t>leverage refers to furnish the ability to use fixed cost assets or funds to increase   the</w:t>
      </w:r>
      <w:r w:rsidRPr="0075007A">
        <w:rPr>
          <w:color w:val="231F20"/>
          <w:spacing w:val="27"/>
          <w:sz w:val="24"/>
          <w:szCs w:val="24"/>
        </w:rPr>
        <w:t xml:space="preserve"> </w:t>
      </w:r>
      <w:r w:rsidRPr="0075007A">
        <w:rPr>
          <w:color w:val="231F20"/>
          <w:sz w:val="24"/>
          <w:szCs w:val="24"/>
        </w:rPr>
        <w:t>return</w:t>
      </w:r>
      <w:r w:rsidRPr="0075007A">
        <w:rPr>
          <w:color w:val="231F20"/>
          <w:spacing w:val="28"/>
          <w:sz w:val="24"/>
          <w:szCs w:val="24"/>
        </w:rPr>
        <w:t xml:space="preserve"> </w:t>
      </w:r>
      <w:r w:rsidRPr="0075007A">
        <w:rPr>
          <w:color w:val="231F20"/>
          <w:sz w:val="24"/>
          <w:szCs w:val="24"/>
        </w:rPr>
        <w:t>to</w:t>
      </w:r>
      <w:r w:rsidRPr="0075007A">
        <w:rPr>
          <w:color w:val="231F20"/>
          <w:spacing w:val="28"/>
          <w:sz w:val="24"/>
          <w:szCs w:val="24"/>
        </w:rPr>
        <w:t xml:space="preserve"> </w:t>
      </w:r>
      <w:r w:rsidRPr="0075007A">
        <w:rPr>
          <w:color w:val="231F20"/>
          <w:sz w:val="24"/>
          <w:szCs w:val="24"/>
        </w:rPr>
        <w:t>its</w:t>
      </w:r>
      <w:r w:rsidRPr="0075007A">
        <w:rPr>
          <w:color w:val="231F20"/>
          <w:spacing w:val="28"/>
          <w:sz w:val="24"/>
          <w:szCs w:val="24"/>
        </w:rPr>
        <w:t xml:space="preserve"> </w:t>
      </w:r>
      <w:r w:rsidRPr="0075007A">
        <w:rPr>
          <w:color w:val="231F20"/>
          <w:sz w:val="24"/>
          <w:szCs w:val="24"/>
        </w:rPr>
        <w:t>shareholders.</w:t>
      </w:r>
    </w:p>
    <w:p w:rsidR="008A7B1D" w:rsidRPr="0075007A" w:rsidRDefault="008A7B1D" w:rsidP="008A7B1D">
      <w:pPr>
        <w:pStyle w:val="Heading2"/>
        <w:spacing w:before="186"/>
        <w:ind w:left="159"/>
        <w:rPr>
          <w:sz w:val="24"/>
          <w:szCs w:val="24"/>
        </w:rPr>
      </w:pPr>
      <w:bookmarkStart w:id="3" w:name="_TOC_250306"/>
      <w:bookmarkEnd w:id="3"/>
      <w:r w:rsidRPr="0075007A">
        <w:rPr>
          <w:color w:val="231F20"/>
          <w:sz w:val="24"/>
          <w:szCs w:val="24"/>
        </w:rPr>
        <w:t>Definition of Leverage</w:t>
      </w:r>
    </w:p>
    <w:p w:rsidR="008A7B1D" w:rsidRPr="0075007A" w:rsidRDefault="008A7B1D" w:rsidP="008A7B1D">
      <w:pPr>
        <w:pStyle w:val="BodyText"/>
        <w:spacing w:before="76" w:line="264" w:lineRule="auto"/>
        <w:ind w:left="159" w:right="1498"/>
        <w:jc w:val="both"/>
        <w:rPr>
          <w:sz w:val="24"/>
          <w:szCs w:val="24"/>
        </w:rPr>
      </w:pPr>
      <w:r w:rsidRPr="0075007A">
        <w:rPr>
          <w:rFonts w:ascii="Book Antiqua" w:hAnsi="Book Antiqua"/>
          <w:b/>
          <w:color w:val="231F20"/>
          <w:sz w:val="24"/>
          <w:szCs w:val="24"/>
        </w:rPr>
        <w:t xml:space="preserve">James Horne </w:t>
      </w:r>
      <w:r w:rsidRPr="0075007A">
        <w:rPr>
          <w:color w:val="231F20"/>
          <w:sz w:val="24"/>
          <w:szCs w:val="24"/>
        </w:rPr>
        <w:t>has defined leverage as, “the employment of an asset or fund for which the firm pays a fixed cost or fixed return.</w:t>
      </w:r>
    </w:p>
    <w:p w:rsidR="008A7B1D" w:rsidRPr="0075007A" w:rsidRDefault="008A7B1D" w:rsidP="008A7B1D">
      <w:pPr>
        <w:pStyle w:val="Heading2"/>
        <w:spacing w:before="193"/>
        <w:ind w:left="159"/>
        <w:rPr>
          <w:sz w:val="24"/>
          <w:szCs w:val="24"/>
        </w:rPr>
      </w:pPr>
      <w:bookmarkStart w:id="4" w:name="_TOC_250305"/>
      <w:bookmarkEnd w:id="4"/>
      <w:r w:rsidRPr="0075007A">
        <w:rPr>
          <w:color w:val="231F20"/>
          <w:sz w:val="24"/>
          <w:szCs w:val="24"/>
        </w:rPr>
        <w:t>Types of Leverage</w:t>
      </w:r>
    </w:p>
    <w:p w:rsidR="008A7B1D" w:rsidRPr="0075007A" w:rsidRDefault="008A7B1D" w:rsidP="008A7B1D">
      <w:pPr>
        <w:pStyle w:val="BodyText"/>
        <w:spacing w:before="80" w:line="268" w:lineRule="auto"/>
        <w:ind w:left="159" w:right="1498"/>
        <w:jc w:val="both"/>
        <w:rPr>
          <w:sz w:val="24"/>
          <w:szCs w:val="24"/>
        </w:rPr>
      </w:pPr>
      <w:r w:rsidRPr="0075007A">
        <w:rPr>
          <w:color w:val="231F20"/>
          <w:sz w:val="24"/>
          <w:szCs w:val="24"/>
        </w:rPr>
        <w:t>Leverage can be classified into three major headings according to the nature of the finance mix of the company.</w:t>
      </w:r>
    </w:p>
    <w:p w:rsidR="008A7B1D" w:rsidRDefault="008A7B1D">
      <w:pPr>
        <w:rPr>
          <w:sz w:val="20"/>
        </w:rPr>
      </w:pPr>
      <w:r>
        <w:rPr>
          <w:rFonts w:ascii="Arial"/>
          <w:color w:val="2B2828"/>
          <w:sz w:val="16"/>
        </w:rPr>
        <w:lastRenderedPageBreak/>
        <w:t xml:space="preserve">                              </w:t>
      </w:r>
      <w:r w:rsidR="005C14FA">
        <w:rPr>
          <w:sz w:val="20"/>
        </w:rPr>
      </w:r>
      <w:r w:rsidR="005C14FA" w:rsidRPr="005C14FA">
        <w:rPr>
          <w:sz w:val="20"/>
        </w:rPr>
        <w:pict>
          <v:group id="_x0000_s1032" style="width:305.8pt;height:127.45pt;mso-position-horizontal-relative:char;mso-position-vertical-relative:line" coordsize="6116,2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116;height:2549">
              <v:imagedata r:id="rId7" o:title=""/>
            </v:shape>
            <v:shapetype id="_x0000_t202" coordsize="21600,21600" o:spt="202" path="m,l,21600r21600,l21600,xe">
              <v:stroke joinstyle="miter"/>
              <v:path gradientshapeok="t" o:connecttype="rect"/>
            </v:shapetype>
            <v:shape id="_x0000_s1034" type="#_x0000_t202" style="position:absolute;left:9;top:871;width:1704;height:646" fillcolor="#c2c1c1" stroked="f">
              <v:textbox style="mso-next-textbox:#_x0000_s1034" inset="0,0,0,0">
                <w:txbxContent>
                  <w:p w:rsidR="0075007A" w:rsidRDefault="0075007A" w:rsidP="008A7B1D">
                    <w:pPr>
                      <w:spacing w:before="137" w:line="232" w:lineRule="auto"/>
                      <w:ind w:left="527" w:right="489" w:firstLine="57"/>
                      <w:rPr>
                        <w:rFonts w:ascii="Arial"/>
                        <w:sz w:val="16"/>
                      </w:rPr>
                    </w:pPr>
                    <w:bookmarkStart w:id="5" w:name="Operaing_Leverage"/>
                    <w:bookmarkEnd w:id="5"/>
                    <w:r>
                      <w:rPr>
                        <w:rFonts w:ascii="Arial"/>
                        <w:color w:val="2B2828"/>
                        <w:sz w:val="16"/>
                      </w:rPr>
                      <w:t>Finacial Leverage</w:t>
                    </w:r>
                  </w:p>
                </w:txbxContent>
              </v:textbox>
            </v:shape>
            <v:shape id="_x0000_s1035" type="#_x0000_t202" style="position:absolute;left:4392;top:871;width:1719;height:658" fillcolor="#c2c1c1" stroked="f">
              <v:textbox style="mso-next-textbox:#_x0000_s1035" inset="0,0,0,0">
                <w:txbxContent>
                  <w:p w:rsidR="0075007A" w:rsidRDefault="0075007A" w:rsidP="008A7B1D">
                    <w:pPr>
                      <w:spacing w:before="137" w:line="232" w:lineRule="auto"/>
                      <w:ind w:left="523" w:right="488" w:hanging="15"/>
                      <w:rPr>
                        <w:rFonts w:ascii="Arial"/>
                        <w:sz w:val="16"/>
                      </w:rPr>
                    </w:pPr>
                    <w:r>
                      <w:rPr>
                        <w:rFonts w:ascii="Arial"/>
                        <w:color w:val="2B2828"/>
                        <w:sz w:val="16"/>
                      </w:rPr>
                      <w:t>Operating Leverage</w:t>
                    </w:r>
                  </w:p>
                </w:txbxContent>
              </v:textbox>
            </v:shape>
            <v:shape id="_x0000_s1036" type="#_x0000_t202" style="position:absolute;left:2184;top:1884;width:1719;height:651" fillcolor="#c2c1c1" stroked="f">
              <v:textbox style="mso-next-textbox:#_x0000_s1036" inset="0,0,0,0">
                <w:txbxContent>
                  <w:p w:rsidR="0075007A" w:rsidRDefault="0075007A" w:rsidP="008A7B1D">
                    <w:pPr>
                      <w:spacing w:before="132" w:line="232" w:lineRule="auto"/>
                      <w:ind w:left="527" w:right="455" w:hanging="48"/>
                      <w:rPr>
                        <w:rFonts w:ascii="Arial"/>
                        <w:sz w:val="16"/>
                      </w:rPr>
                    </w:pPr>
                    <w:r>
                      <w:rPr>
                        <w:rFonts w:ascii="Arial"/>
                        <w:color w:val="2B2828"/>
                        <w:sz w:val="16"/>
                      </w:rPr>
                      <w:t>Composite Leverage</w:t>
                    </w:r>
                  </w:p>
                </w:txbxContent>
              </v:textbox>
            </v:shape>
            <v:shape id="_x0000_s1037" type="#_x0000_t202" style="position:absolute;left:2184;top:2;width:1714;height:334" fillcolor="#c2c1c1" stroked="f">
              <v:textbox style="mso-next-textbox:#_x0000_s1037" inset="0,0,0,0">
                <w:txbxContent>
                  <w:p w:rsidR="0075007A" w:rsidRDefault="0075007A" w:rsidP="008A7B1D">
                    <w:pPr>
                      <w:spacing w:before="61"/>
                      <w:ind w:left="527"/>
                      <w:rPr>
                        <w:rFonts w:ascii="Arial"/>
                        <w:b/>
                        <w:sz w:val="16"/>
                      </w:rPr>
                    </w:pPr>
                    <w:r>
                      <w:rPr>
                        <w:rFonts w:ascii="Arial"/>
                        <w:b/>
                        <w:color w:val="2B2828"/>
                        <w:sz w:val="16"/>
                      </w:rPr>
                      <w:t>Leverage</w:t>
                    </w:r>
                  </w:p>
                </w:txbxContent>
              </v:textbox>
            </v:shape>
            <w10:wrap type="none"/>
            <w10:anchorlock/>
          </v:group>
        </w:pict>
      </w:r>
    </w:p>
    <w:p w:rsidR="008A7B1D" w:rsidRDefault="008A7B1D" w:rsidP="008A7B1D">
      <w:pPr>
        <w:spacing w:before="98"/>
        <w:ind w:left="3400"/>
        <w:rPr>
          <w:rFonts w:ascii="Arial"/>
          <w:i/>
          <w:sz w:val="18"/>
        </w:rPr>
      </w:pPr>
      <w:r>
        <w:rPr>
          <w:rFonts w:ascii="Arial"/>
          <w:b/>
          <w:i/>
          <w:color w:val="231F20"/>
          <w:sz w:val="18"/>
        </w:rPr>
        <w:t xml:space="preserve">Fig. 7.1 </w:t>
      </w:r>
      <w:r>
        <w:rPr>
          <w:rFonts w:ascii="Arial"/>
          <w:i/>
          <w:color w:val="231F20"/>
          <w:sz w:val="18"/>
        </w:rPr>
        <w:t>Types of Leverage</w:t>
      </w:r>
    </w:p>
    <w:p w:rsidR="008A7B1D" w:rsidRPr="0075007A" w:rsidRDefault="008A7B1D" w:rsidP="008A7B1D">
      <w:pPr>
        <w:pStyle w:val="BodyText"/>
        <w:spacing w:line="259" w:lineRule="auto"/>
        <w:ind w:left="160" w:right="1497" w:firstLine="359"/>
        <w:rPr>
          <w:sz w:val="24"/>
          <w:szCs w:val="24"/>
        </w:rPr>
      </w:pPr>
      <w:r w:rsidRPr="0075007A">
        <w:rPr>
          <w:color w:val="231F20"/>
          <w:sz w:val="24"/>
          <w:szCs w:val="24"/>
        </w:rPr>
        <w:t>The company may use finance or leverage or operating leverage, to increase the EBIT and EPS.</w:t>
      </w:r>
    </w:p>
    <w:p w:rsidR="008A7B1D" w:rsidRPr="0075007A" w:rsidRDefault="008A7B1D" w:rsidP="008A7B1D">
      <w:pPr>
        <w:pStyle w:val="Heading1"/>
        <w:spacing w:before="204"/>
        <w:jc w:val="both"/>
      </w:pPr>
      <w:bookmarkStart w:id="6" w:name="_TOC_250304"/>
      <w:bookmarkEnd w:id="6"/>
      <w:r w:rsidRPr="0075007A">
        <w:rPr>
          <w:color w:val="231F20"/>
        </w:rPr>
        <w:t>OPERATING LEVERAGE</w:t>
      </w:r>
    </w:p>
    <w:p w:rsidR="008A7B1D" w:rsidRPr="0075007A" w:rsidRDefault="008A7B1D" w:rsidP="008A7B1D">
      <w:pPr>
        <w:pStyle w:val="BodyText"/>
        <w:spacing w:before="81" w:line="242" w:lineRule="auto"/>
        <w:ind w:left="160" w:right="1494"/>
        <w:jc w:val="both"/>
        <w:rPr>
          <w:sz w:val="24"/>
          <w:szCs w:val="24"/>
        </w:rPr>
      </w:pPr>
      <w:r w:rsidRPr="0075007A">
        <w:rPr>
          <w:color w:val="231F20"/>
          <w:sz w:val="24"/>
          <w:szCs w:val="24"/>
        </w:rPr>
        <w:t>The</w:t>
      </w:r>
      <w:r w:rsidRPr="0075007A">
        <w:rPr>
          <w:color w:val="231F20"/>
          <w:spacing w:val="-5"/>
          <w:sz w:val="24"/>
          <w:szCs w:val="24"/>
        </w:rPr>
        <w:t xml:space="preserve"> </w:t>
      </w:r>
      <w:r w:rsidRPr="0075007A">
        <w:rPr>
          <w:color w:val="231F20"/>
          <w:sz w:val="24"/>
          <w:szCs w:val="24"/>
        </w:rPr>
        <w:t>leverage</w:t>
      </w:r>
      <w:r w:rsidRPr="0075007A">
        <w:rPr>
          <w:color w:val="231F20"/>
          <w:spacing w:val="-5"/>
          <w:sz w:val="24"/>
          <w:szCs w:val="24"/>
        </w:rPr>
        <w:t xml:space="preserve"> </w:t>
      </w:r>
      <w:r w:rsidRPr="0075007A">
        <w:rPr>
          <w:color w:val="231F20"/>
          <w:sz w:val="24"/>
          <w:szCs w:val="24"/>
        </w:rPr>
        <w:t>associated</w:t>
      </w:r>
      <w:r w:rsidRPr="0075007A">
        <w:rPr>
          <w:color w:val="231F20"/>
          <w:spacing w:val="-5"/>
          <w:sz w:val="24"/>
          <w:szCs w:val="24"/>
        </w:rPr>
        <w:t xml:space="preserve"> </w:t>
      </w:r>
      <w:r w:rsidRPr="0075007A">
        <w:rPr>
          <w:color w:val="231F20"/>
          <w:sz w:val="24"/>
          <w:szCs w:val="24"/>
        </w:rPr>
        <w:t>with</w:t>
      </w:r>
      <w:r w:rsidRPr="0075007A">
        <w:rPr>
          <w:color w:val="231F20"/>
          <w:spacing w:val="-4"/>
          <w:sz w:val="24"/>
          <w:szCs w:val="24"/>
        </w:rPr>
        <w:t xml:space="preserve"> </w:t>
      </w:r>
      <w:r w:rsidRPr="0075007A">
        <w:rPr>
          <w:color w:val="231F20"/>
          <w:sz w:val="24"/>
          <w:szCs w:val="24"/>
        </w:rPr>
        <w:t>investment</w:t>
      </w:r>
      <w:r w:rsidRPr="0075007A">
        <w:rPr>
          <w:color w:val="231F20"/>
          <w:spacing w:val="-5"/>
          <w:sz w:val="24"/>
          <w:szCs w:val="24"/>
        </w:rPr>
        <w:t xml:space="preserve"> </w:t>
      </w:r>
      <w:r w:rsidRPr="0075007A">
        <w:rPr>
          <w:color w:val="231F20"/>
          <w:sz w:val="24"/>
          <w:szCs w:val="24"/>
        </w:rPr>
        <w:t>activities</w:t>
      </w:r>
      <w:r w:rsidRPr="0075007A">
        <w:rPr>
          <w:color w:val="231F20"/>
          <w:spacing w:val="-5"/>
          <w:sz w:val="24"/>
          <w:szCs w:val="24"/>
        </w:rPr>
        <w:t xml:space="preserve"> </w:t>
      </w:r>
      <w:r w:rsidRPr="0075007A">
        <w:rPr>
          <w:color w:val="231F20"/>
          <w:sz w:val="24"/>
          <w:szCs w:val="24"/>
        </w:rPr>
        <w:t>is</w:t>
      </w:r>
      <w:r w:rsidRPr="0075007A">
        <w:rPr>
          <w:color w:val="231F20"/>
          <w:spacing w:val="-5"/>
          <w:sz w:val="24"/>
          <w:szCs w:val="24"/>
        </w:rPr>
        <w:t xml:space="preserve"> </w:t>
      </w:r>
      <w:r w:rsidRPr="0075007A">
        <w:rPr>
          <w:color w:val="231F20"/>
          <w:sz w:val="24"/>
          <w:szCs w:val="24"/>
        </w:rPr>
        <w:t>called</w:t>
      </w:r>
      <w:r w:rsidRPr="0075007A">
        <w:rPr>
          <w:color w:val="231F20"/>
          <w:spacing w:val="-4"/>
          <w:sz w:val="24"/>
          <w:szCs w:val="24"/>
        </w:rPr>
        <w:t xml:space="preserve"> </w:t>
      </w:r>
      <w:r w:rsidRPr="0075007A">
        <w:rPr>
          <w:color w:val="231F20"/>
          <w:sz w:val="24"/>
          <w:szCs w:val="24"/>
        </w:rPr>
        <w:t>as</w:t>
      </w:r>
      <w:r w:rsidRPr="0075007A">
        <w:rPr>
          <w:color w:val="231F20"/>
          <w:spacing w:val="-5"/>
          <w:sz w:val="24"/>
          <w:szCs w:val="24"/>
        </w:rPr>
        <w:t xml:space="preserve"> </w:t>
      </w:r>
      <w:r w:rsidRPr="0075007A">
        <w:rPr>
          <w:color w:val="231F20"/>
          <w:sz w:val="24"/>
          <w:szCs w:val="24"/>
        </w:rPr>
        <w:t>operating</w:t>
      </w:r>
      <w:r w:rsidRPr="0075007A">
        <w:rPr>
          <w:color w:val="231F20"/>
          <w:spacing w:val="-5"/>
          <w:sz w:val="24"/>
          <w:szCs w:val="24"/>
        </w:rPr>
        <w:t xml:space="preserve"> </w:t>
      </w:r>
      <w:r w:rsidRPr="0075007A">
        <w:rPr>
          <w:color w:val="231F20"/>
          <w:spacing w:val="-3"/>
          <w:sz w:val="24"/>
          <w:szCs w:val="24"/>
        </w:rPr>
        <w:t>leverage.</w:t>
      </w:r>
      <w:r w:rsidRPr="0075007A">
        <w:rPr>
          <w:color w:val="231F20"/>
          <w:spacing w:val="-4"/>
          <w:sz w:val="24"/>
          <w:szCs w:val="24"/>
        </w:rPr>
        <w:t xml:space="preserve"> </w:t>
      </w:r>
      <w:r w:rsidRPr="0075007A">
        <w:rPr>
          <w:color w:val="231F20"/>
          <w:sz w:val="24"/>
          <w:szCs w:val="24"/>
        </w:rPr>
        <w:t>It</w:t>
      </w:r>
      <w:r w:rsidRPr="0075007A">
        <w:rPr>
          <w:color w:val="231F20"/>
          <w:spacing w:val="-5"/>
          <w:sz w:val="24"/>
          <w:szCs w:val="24"/>
        </w:rPr>
        <w:t xml:space="preserve"> </w:t>
      </w:r>
      <w:r w:rsidRPr="0075007A">
        <w:rPr>
          <w:color w:val="231F20"/>
          <w:sz w:val="24"/>
          <w:szCs w:val="24"/>
        </w:rPr>
        <w:t>is</w:t>
      </w:r>
      <w:r w:rsidRPr="0075007A">
        <w:rPr>
          <w:color w:val="231F20"/>
          <w:spacing w:val="-5"/>
          <w:sz w:val="24"/>
          <w:szCs w:val="24"/>
        </w:rPr>
        <w:t xml:space="preserve"> </w:t>
      </w:r>
      <w:r w:rsidRPr="0075007A">
        <w:rPr>
          <w:color w:val="231F20"/>
          <w:sz w:val="24"/>
          <w:szCs w:val="24"/>
        </w:rPr>
        <w:t xml:space="preserve">caused due to fixed operating expenses in the </w:t>
      </w:r>
      <w:r w:rsidRPr="0075007A">
        <w:rPr>
          <w:color w:val="231F20"/>
          <w:spacing w:val="-4"/>
          <w:sz w:val="24"/>
          <w:szCs w:val="24"/>
        </w:rPr>
        <w:t xml:space="preserve">company. </w:t>
      </w:r>
      <w:r w:rsidRPr="0075007A">
        <w:rPr>
          <w:color w:val="231F20"/>
          <w:sz w:val="24"/>
          <w:szCs w:val="24"/>
        </w:rPr>
        <w:t>Operating leverage may be defined as the company’s ability to use fixed operating costs to magnify the effects of changes in sales on its earnings before interest and taxes. Operating leverage consists of two important costs</w:t>
      </w:r>
      <w:bookmarkStart w:id="7" w:name="Degree_of_Operating_Leverage"/>
      <w:bookmarkEnd w:id="7"/>
      <w:r w:rsidRPr="0075007A">
        <w:rPr>
          <w:color w:val="231F20"/>
          <w:sz w:val="24"/>
          <w:szCs w:val="24"/>
        </w:rPr>
        <w:t xml:space="preserve"> viz., fixed cost and variable cost. When the company is said to have a high degree of operating leverage if it employs a great amount of fixed cost and smaller amount of variable cost. Thus, the degree of operating leverage depends upon the amount of various cost structure.</w:t>
      </w:r>
      <w:r w:rsidRPr="0075007A">
        <w:rPr>
          <w:color w:val="231F20"/>
          <w:spacing w:val="23"/>
          <w:sz w:val="24"/>
          <w:szCs w:val="24"/>
        </w:rPr>
        <w:t xml:space="preserve"> </w:t>
      </w:r>
      <w:r w:rsidRPr="0075007A">
        <w:rPr>
          <w:color w:val="231F20"/>
          <w:sz w:val="24"/>
          <w:szCs w:val="24"/>
        </w:rPr>
        <w:t>Operating</w:t>
      </w:r>
      <w:r w:rsidRPr="0075007A">
        <w:rPr>
          <w:color w:val="231F20"/>
          <w:spacing w:val="24"/>
          <w:sz w:val="24"/>
          <w:szCs w:val="24"/>
        </w:rPr>
        <w:t xml:space="preserve"> </w:t>
      </w:r>
      <w:r w:rsidRPr="0075007A">
        <w:rPr>
          <w:color w:val="231F20"/>
          <w:sz w:val="24"/>
          <w:szCs w:val="24"/>
        </w:rPr>
        <w:t>leverage</w:t>
      </w:r>
      <w:r w:rsidRPr="0075007A">
        <w:rPr>
          <w:color w:val="231F20"/>
          <w:spacing w:val="24"/>
          <w:sz w:val="24"/>
          <w:szCs w:val="24"/>
        </w:rPr>
        <w:t xml:space="preserve"> </w:t>
      </w:r>
      <w:r w:rsidRPr="0075007A">
        <w:rPr>
          <w:color w:val="231F20"/>
          <w:sz w:val="24"/>
          <w:szCs w:val="24"/>
        </w:rPr>
        <w:t>can</w:t>
      </w:r>
      <w:r w:rsidRPr="0075007A">
        <w:rPr>
          <w:color w:val="231F20"/>
          <w:spacing w:val="24"/>
          <w:sz w:val="24"/>
          <w:szCs w:val="24"/>
        </w:rPr>
        <w:t xml:space="preserve"> </w:t>
      </w:r>
      <w:r w:rsidRPr="0075007A">
        <w:rPr>
          <w:color w:val="231F20"/>
          <w:sz w:val="24"/>
          <w:szCs w:val="24"/>
        </w:rPr>
        <w:t>be</w:t>
      </w:r>
      <w:r w:rsidRPr="0075007A">
        <w:rPr>
          <w:color w:val="231F20"/>
          <w:spacing w:val="24"/>
          <w:sz w:val="24"/>
          <w:szCs w:val="24"/>
        </w:rPr>
        <w:t xml:space="preserve"> </w:t>
      </w:r>
      <w:r w:rsidRPr="0075007A">
        <w:rPr>
          <w:color w:val="231F20"/>
          <w:sz w:val="24"/>
          <w:szCs w:val="24"/>
        </w:rPr>
        <w:t>determined</w:t>
      </w:r>
      <w:r w:rsidRPr="0075007A">
        <w:rPr>
          <w:color w:val="231F20"/>
          <w:spacing w:val="24"/>
          <w:sz w:val="24"/>
          <w:szCs w:val="24"/>
        </w:rPr>
        <w:t xml:space="preserve"> </w:t>
      </w:r>
      <w:r w:rsidRPr="0075007A">
        <w:rPr>
          <w:color w:val="231F20"/>
          <w:sz w:val="24"/>
          <w:szCs w:val="24"/>
        </w:rPr>
        <w:t>with</w:t>
      </w:r>
      <w:r w:rsidRPr="0075007A">
        <w:rPr>
          <w:color w:val="231F20"/>
          <w:spacing w:val="23"/>
          <w:sz w:val="24"/>
          <w:szCs w:val="24"/>
        </w:rPr>
        <w:t xml:space="preserve"> </w:t>
      </w:r>
      <w:r w:rsidRPr="0075007A">
        <w:rPr>
          <w:color w:val="231F20"/>
          <w:sz w:val="24"/>
          <w:szCs w:val="24"/>
        </w:rPr>
        <w:t>the</w:t>
      </w:r>
      <w:r w:rsidRPr="0075007A">
        <w:rPr>
          <w:color w:val="231F20"/>
          <w:spacing w:val="24"/>
          <w:sz w:val="24"/>
          <w:szCs w:val="24"/>
        </w:rPr>
        <w:t xml:space="preserve"> </w:t>
      </w:r>
      <w:r w:rsidRPr="0075007A">
        <w:rPr>
          <w:color w:val="231F20"/>
          <w:sz w:val="24"/>
          <w:szCs w:val="24"/>
        </w:rPr>
        <w:t>help</w:t>
      </w:r>
      <w:r w:rsidRPr="0075007A">
        <w:rPr>
          <w:color w:val="231F20"/>
          <w:spacing w:val="24"/>
          <w:sz w:val="24"/>
          <w:szCs w:val="24"/>
        </w:rPr>
        <w:t xml:space="preserve"> </w:t>
      </w:r>
      <w:r w:rsidRPr="0075007A">
        <w:rPr>
          <w:color w:val="231F20"/>
          <w:sz w:val="24"/>
          <w:szCs w:val="24"/>
        </w:rPr>
        <w:t>of</w:t>
      </w:r>
      <w:r w:rsidRPr="0075007A">
        <w:rPr>
          <w:color w:val="231F20"/>
          <w:spacing w:val="24"/>
          <w:sz w:val="24"/>
          <w:szCs w:val="24"/>
        </w:rPr>
        <w:t xml:space="preserve"> </w:t>
      </w:r>
      <w:r w:rsidRPr="0075007A">
        <w:rPr>
          <w:color w:val="231F20"/>
          <w:sz w:val="24"/>
          <w:szCs w:val="24"/>
        </w:rPr>
        <w:t>a</w:t>
      </w:r>
      <w:r w:rsidRPr="0075007A">
        <w:rPr>
          <w:color w:val="231F20"/>
          <w:spacing w:val="24"/>
          <w:sz w:val="24"/>
          <w:szCs w:val="24"/>
        </w:rPr>
        <w:t xml:space="preserve"> </w:t>
      </w:r>
      <w:r w:rsidRPr="0075007A">
        <w:rPr>
          <w:color w:val="231F20"/>
          <w:sz w:val="24"/>
          <w:szCs w:val="24"/>
        </w:rPr>
        <w:t>break</w:t>
      </w:r>
      <w:r w:rsidRPr="0075007A">
        <w:rPr>
          <w:color w:val="231F20"/>
          <w:spacing w:val="24"/>
          <w:sz w:val="24"/>
          <w:szCs w:val="24"/>
        </w:rPr>
        <w:t xml:space="preserve"> </w:t>
      </w:r>
      <w:r w:rsidRPr="0075007A">
        <w:rPr>
          <w:color w:val="231F20"/>
          <w:spacing w:val="-3"/>
          <w:sz w:val="24"/>
          <w:szCs w:val="24"/>
        </w:rPr>
        <w:t>even</w:t>
      </w:r>
      <w:r w:rsidRPr="0075007A">
        <w:rPr>
          <w:color w:val="231F20"/>
          <w:spacing w:val="23"/>
          <w:sz w:val="24"/>
          <w:szCs w:val="24"/>
        </w:rPr>
        <w:t xml:space="preserve"> </w:t>
      </w:r>
      <w:r w:rsidRPr="0075007A">
        <w:rPr>
          <w:color w:val="231F20"/>
          <w:sz w:val="24"/>
          <w:szCs w:val="24"/>
        </w:rPr>
        <w:t>analysis.</w:t>
      </w:r>
    </w:p>
    <w:p w:rsidR="008A7B1D" w:rsidRPr="0075007A" w:rsidRDefault="008A7B1D" w:rsidP="008A7B1D">
      <w:pPr>
        <w:pStyle w:val="BodyText"/>
        <w:spacing w:before="95"/>
        <w:ind w:left="519"/>
        <w:jc w:val="both"/>
        <w:rPr>
          <w:sz w:val="24"/>
          <w:szCs w:val="24"/>
        </w:rPr>
      </w:pPr>
      <w:r w:rsidRPr="0075007A">
        <w:rPr>
          <w:color w:val="231F20"/>
          <w:sz w:val="24"/>
          <w:szCs w:val="24"/>
        </w:rPr>
        <w:t>Operating leverage can be calculated with the help of the following formula:</w:t>
      </w:r>
    </w:p>
    <w:p w:rsidR="008A7B1D" w:rsidRPr="0075007A" w:rsidRDefault="008A7B1D" w:rsidP="008A7B1D">
      <w:pPr>
        <w:pStyle w:val="BodyText"/>
        <w:spacing w:before="167" w:line="374" w:lineRule="exact"/>
        <w:ind w:left="3145"/>
        <w:rPr>
          <w:sz w:val="24"/>
          <w:szCs w:val="24"/>
        </w:rPr>
      </w:pPr>
      <w:r w:rsidRPr="0075007A">
        <w:rPr>
          <w:color w:val="231F20"/>
          <w:w w:val="125"/>
          <w:sz w:val="24"/>
          <w:szCs w:val="24"/>
        </w:rPr>
        <w:t xml:space="preserve">OL </w:t>
      </w:r>
      <w:r w:rsidRPr="0075007A">
        <w:rPr>
          <w:color w:val="231F20"/>
          <w:w w:val="160"/>
          <w:sz w:val="24"/>
          <w:szCs w:val="24"/>
        </w:rPr>
        <w:t>=</w:t>
      </w:r>
      <w:r w:rsidR="0075007A" w:rsidRPr="0075007A">
        <w:rPr>
          <w:color w:val="231F20"/>
          <w:w w:val="160"/>
          <w:sz w:val="24"/>
          <w:szCs w:val="24"/>
        </w:rPr>
        <w:t xml:space="preserve">  </w:t>
      </w:r>
      <w:r w:rsidRPr="0075007A">
        <w:rPr>
          <w:w w:val="160"/>
          <w:position w:val="17"/>
          <w:sz w:val="24"/>
          <w:szCs w:val="24"/>
          <w:u w:val="single"/>
        </w:rPr>
        <w:t xml:space="preserve"> </w:t>
      </w:r>
      <w:r w:rsidRPr="0075007A">
        <w:rPr>
          <w:w w:val="125"/>
          <w:position w:val="17"/>
          <w:sz w:val="24"/>
          <w:szCs w:val="24"/>
          <w:u w:val="single"/>
        </w:rPr>
        <w:t>C</w:t>
      </w:r>
      <w:r w:rsidRPr="0075007A">
        <w:rPr>
          <w:position w:val="17"/>
          <w:sz w:val="24"/>
          <w:szCs w:val="24"/>
          <w:u w:val="single"/>
        </w:rPr>
        <w:t xml:space="preserve"> </w:t>
      </w:r>
    </w:p>
    <w:p w:rsidR="008A7B1D" w:rsidRPr="0075007A" w:rsidRDefault="008A7B1D" w:rsidP="008A7B1D">
      <w:pPr>
        <w:pStyle w:val="BodyText"/>
        <w:spacing w:line="204" w:lineRule="exact"/>
        <w:ind w:right="2286"/>
        <w:jc w:val="center"/>
        <w:rPr>
          <w:sz w:val="24"/>
          <w:szCs w:val="24"/>
        </w:rPr>
      </w:pPr>
      <w:r w:rsidRPr="0075007A">
        <w:rPr>
          <w:w w:val="110"/>
          <w:sz w:val="24"/>
          <w:szCs w:val="24"/>
        </w:rPr>
        <w:t>OP</w:t>
      </w:r>
    </w:p>
    <w:p w:rsidR="008A7B1D" w:rsidRPr="0075007A" w:rsidRDefault="008A7B1D" w:rsidP="008A7B1D">
      <w:pPr>
        <w:pStyle w:val="BodyText"/>
        <w:spacing w:before="88"/>
        <w:ind w:left="520"/>
        <w:rPr>
          <w:sz w:val="24"/>
          <w:szCs w:val="24"/>
        </w:rPr>
      </w:pPr>
      <w:r w:rsidRPr="0075007A">
        <w:rPr>
          <w:color w:val="231F20"/>
          <w:w w:val="105"/>
          <w:sz w:val="24"/>
          <w:szCs w:val="24"/>
        </w:rPr>
        <w:t>Where,</w:t>
      </w:r>
    </w:p>
    <w:p w:rsidR="0075007A" w:rsidRDefault="008A7B1D" w:rsidP="0075007A">
      <w:pPr>
        <w:pStyle w:val="BodyText"/>
        <w:spacing w:before="63" w:line="295" w:lineRule="auto"/>
        <w:ind w:left="1268" w:right="5530" w:hanging="149"/>
        <w:rPr>
          <w:color w:val="231F20"/>
          <w:w w:val="115"/>
          <w:sz w:val="24"/>
          <w:szCs w:val="24"/>
        </w:rPr>
      </w:pPr>
      <w:r w:rsidRPr="0075007A">
        <w:rPr>
          <w:color w:val="231F20"/>
          <w:w w:val="115"/>
          <w:sz w:val="24"/>
          <w:szCs w:val="24"/>
        </w:rPr>
        <w:t xml:space="preserve">OL </w:t>
      </w:r>
      <w:r w:rsidRPr="0075007A">
        <w:rPr>
          <w:color w:val="231F20"/>
          <w:w w:val="130"/>
          <w:sz w:val="24"/>
          <w:szCs w:val="24"/>
        </w:rPr>
        <w:t xml:space="preserve">= </w:t>
      </w:r>
      <w:r w:rsidRPr="0075007A">
        <w:rPr>
          <w:color w:val="231F20"/>
          <w:w w:val="115"/>
          <w:sz w:val="24"/>
          <w:szCs w:val="24"/>
        </w:rPr>
        <w:t xml:space="preserve">Operating Leverage </w:t>
      </w:r>
    </w:p>
    <w:p w:rsidR="008A7B1D" w:rsidRPr="0075007A" w:rsidRDefault="008A7B1D" w:rsidP="0075007A">
      <w:pPr>
        <w:pStyle w:val="BodyText"/>
        <w:spacing w:before="63" w:line="295" w:lineRule="auto"/>
        <w:ind w:left="1268" w:right="5530" w:hanging="149"/>
        <w:rPr>
          <w:sz w:val="24"/>
          <w:szCs w:val="24"/>
        </w:rPr>
      </w:pPr>
      <w:r w:rsidRPr="0075007A">
        <w:rPr>
          <w:color w:val="231F20"/>
          <w:w w:val="115"/>
          <w:sz w:val="24"/>
          <w:szCs w:val="24"/>
        </w:rPr>
        <w:t xml:space="preserve">C </w:t>
      </w:r>
      <w:r w:rsidRPr="0075007A">
        <w:rPr>
          <w:color w:val="231F20"/>
          <w:w w:val="150"/>
          <w:sz w:val="24"/>
          <w:szCs w:val="24"/>
        </w:rPr>
        <w:t xml:space="preserve">= </w:t>
      </w:r>
      <w:r w:rsidRPr="0075007A">
        <w:rPr>
          <w:color w:val="231F20"/>
          <w:w w:val="115"/>
          <w:sz w:val="24"/>
          <w:szCs w:val="24"/>
        </w:rPr>
        <w:t>Contribution</w:t>
      </w:r>
    </w:p>
    <w:p w:rsidR="008A7B1D" w:rsidRPr="0075007A" w:rsidRDefault="008A7B1D" w:rsidP="0075007A">
      <w:pPr>
        <w:pStyle w:val="BodyText"/>
        <w:spacing w:before="4"/>
        <w:ind w:left="1119" w:hanging="149"/>
        <w:rPr>
          <w:sz w:val="24"/>
          <w:szCs w:val="24"/>
        </w:rPr>
      </w:pPr>
      <w:r w:rsidRPr="0075007A">
        <w:rPr>
          <w:color w:val="231F20"/>
          <w:w w:val="115"/>
          <w:sz w:val="24"/>
          <w:szCs w:val="24"/>
        </w:rPr>
        <w:t xml:space="preserve">OP </w:t>
      </w:r>
      <w:r w:rsidRPr="0075007A">
        <w:rPr>
          <w:color w:val="231F20"/>
          <w:w w:val="150"/>
          <w:sz w:val="24"/>
          <w:szCs w:val="24"/>
        </w:rPr>
        <w:t xml:space="preserve">= </w:t>
      </w:r>
      <w:r w:rsidRPr="0075007A">
        <w:rPr>
          <w:color w:val="231F20"/>
          <w:w w:val="115"/>
          <w:sz w:val="24"/>
          <w:szCs w:val="24"/>
        </w:rPr>
        <w:t>Operating Profits</w:t>
      </w:r>
    </w:p>
    <w:p w:rsidR="008A7B1D" w:rsidRPr="0075007A" w:rsidRDefault="008A7B1D" w:rsidP="008A7B1D">
      <w:pPr>
        <w:pStyle w:val="Heading2"/>
        <w:spacing w:before="158"/>
        <w:ind w:left="159"/>
        <w:jc w:val="both"/>
        <w:rPr>
          <w:sz w:val="24"/>
          <w:szCs w:val="24"/>
        </w:rPr>
      </w:pPr>
      <w:bookmarkStart w:id="8" w:name="_TOC_250303"/>
      <w:bookmarkEnd w:id="8"/>
      <w:r w:rsidRPr="0075007A">
        <w:rPr>
          <w:color w:val="231F20"/>
          <w:sz w:val="24"/>
          <w:szCs w:val="24"/>
        </w:rPr>
        <w:t>Degree of Operating Leverage</w:t>
      </w:r>
    </w:p>
    <w:p w:rsidR="008A7B1D" w:rsidRPr="0075007A" w:rsidRDefault="008A7B1D" w:rsidP="008A7B1D">
      <w:pPr>
        <w:pStyle w:val="BodyText"/>
        <w:spacing w:before="56" w:line="256" w:lineRule="auto"/>
        <w:ind w:left="159" w:right="1497"/>
        <w:jc w:val="both"/>
        <w:rPr>
          <w:sz w:val="24"/>
          <w:szCs w:val="24"/>
        </w:rPr>
      </w:pPr>
      <w:r w:rsidRPr="0075007A">
        <w:rPr>
          <w:color w:val="231F20"/>
          <w:sz w:val="24"/>
          <w:szCs w:val="24"/>
        </w:rPr>
        <w:t>The</w:t>
      </w:r>
      <w:r w:rsidRPr="0075007A">
        <w:rPr>
          <w:color w:val="231F20"/>
          <w:spacing w:val="-9"/>
          <w:sz w:val="24"/>
          <w:szCs w:val="24"/>
        </w:rPr>
        <w:t xml:space="preserve"> </w:t>
      </w:r>
      <w:r w:rsidRPr="0075007A">
        <w:rPr>
          <w:color w:val="231F20"/>
          <w:sz w:val="24"/>
          <w:szCs w:val="24"/>
        </w:rPr>
        <w:t>degree</w:t>
      </w:r>
      <w:r w:rsidRPr="0075007A">
        <w:rPr>
          <w:color w:val="231F20"/>
          <w:spacing w:val="-9"/>
          <w:sz w:val="24"/>
          <w:szCs w:val="24"/>
        </w:rPr>
        <w:t xml:space="preserve"> </w:t>
      </w:r>
      <w:r w:rsidRPr="0075007A">
        <w:rPr>
          <w:color w:val="231F20"/>
          <w:sz w:val="24"/>
          <w:szCs w:val="24"/>
        </w:rPr>
        <w:t>of</w:t>
      </w:r>
      <w:r w:rsidRPr="0075007A">
        <w:rPr>
          <w:color w:val="231F20"/>
          <w:spacing w:val="-9"/>
          <w:sz w:val="24"/>
          <w:szCs w:val="24"/>
        </w:rPr>
        <w:t xml:space="preserve"> </w:t>
      </w:r>
      <w:r w:rsidRPr="0075007A">
        <w:rPr>
          <w:color w:val="231F20"/>
          <w:sz w:val="24"/>
          <w:szCs w:val="24"/>
        </w:rPr>
        <w:t>operating</w:t>
      </w:r>
      <w:r w:rsidRPr="0075007A">
        <w:rPr>
          <w:color w:val="231F20"/>
          <w:spacing w:val="-9"/>
          <w:sz w:val="24"/>
          <w:szCs w:val="24"/>
        </w:rPr>
        <w:t xml:space="preserve"> </w:t>
      </w:r>
      <w:r w:rsidRPr="0075007A">
        <w:rPr>
          <w:color w:val="231F20"/>
          <w:spacing w:val="-3"/>
          <w:sz w:val="24"/>
          <w:szCs w:val="24"/>
        </w:rPr>
        <w:t>leverage</w:t>
      </w:r>
      <w:r w:rsidRPr="0075007A">
        <w:rPr>
          <w:color w:val="231F20"/>
          <w:spacing w:val="-9"/>
          <w:sz w:val="24"/>
          <w:szCs w:val="24"/>
        </w:rPr>
        <w:t xml:space="preserve"> </w:t>
      </w:r>
      <w:r w:rsidRPr="0075007A">
        <w:rPr>
          <w:color w:val="231F20"/>
          <w:sz w:val="24"/>
          <w:szCs w:val="24"/>
        </w:rPr>
        <w:t>may</w:t>
      </w:r>
      <w:r w:rsidRPr="0075007A">
        <w:rPr>
          <w:color w:val="231F20"/>
          <w:spacing w:val="-9"/>
          <w:sz w:val="24"/>
          <w:szCs w:val="24"/>
        </w:rPr>
        <w:t xml:space="preserve"> </w:t>
      </w:r>
      <w:r w:rsidRPr="0075007A">
        <w:rPr>
          <w:color w:val="231F20"/>
          <w:sz w:val="24"/>
          <w:szCs w:val="24"/>
        </w:rPr>
        <w:t>be</w:t>
      </w:r>
      <w:r w:rsidRPr="0075007A">
        <w:rPr>
          <w:color w:val="231F20"/>
          <w:spacing w:val="-9"/>
          <w:sz w:val="24"/>
          <w:szCs w:val="24"/>
        </w:rPr>
        <w:t xml:space="preserve"> </w:t>
      </w:r>
      <w:r w:rsidRPr="0075007A">
        <w:rPr>
          <w:color w:val="231F20"/>
          <w:sz w:val="24"/>
          <w:szCs w:val="24"/>
        </w:rPr>
        <w:t>defined</w:t>
      </w:r>
      <w:r w:rsidRPr="0075007A">
        <w:rPr>
          <w:color w:val="231F20"/>
          <w:spacing w:val="-9"/>
          <w:sz w:val="24"/>
          <w:szCs w:val="24"/>
        </w:rPr>
        <w:t xml:space="preserve"> </w:t>
      </w:r>
      <w:r w:rsidRPr="0075007A">
        <w:rPr>
          <w:color w:val="231F20"/>
          <w:sz w:val="24"/>
          <w:szCs w:val="24"/>
        </w:rPr>
        <w:t>as</w:t>
      </w:r>
      <w:r w:rsidRPr="0075007A">
        <w:rPr>
          <w:color w:val="231F20"/>
          <w:spacing w:val="-9"/>
          <w:sz w:val="24"/>
          <w:szCs w:val="24"/>
        </w:rPr>
        <w:t xml:space="preserve"> </w:t>
      </w:r>
      <w:r w:rsidRPr="0075007A">
        <w:rPr>
          <w:color w:val="231F20"/>
          <w:sz w:val="24"/>
          <w:szCs w:val="24"/>
        </w:rPr>
        <w:t>percentage</w:t>
      </w:r>
      <w:r w:rsidRPr="0075007A">
        <w:rPr>
          <w:color w:val="231F20"/>
          <w:spacing w:val="-9"/>
          <w:sz w:val="24"/>
          <w:szCs w:val="24"/>
        </w:rPr>
        <w:t xml:space="preserve"> </w:t>
      </w:r>
      <w:r w:rsidRPr="0075007A">
        <w:rPr>
          <w:color w:val="231F20"/>
          <w:sz w:val="24"/>
          <w:szCs w:val="24"/>
        </w:rPr>
        <w:t>change</w:t>
      </w:r>
      <w:r w:rsidRPr="0075007A">
        <w:rPr>
          <w:color w:val="231F20"/>
          <w:spacing w:val="-9"/>
          <w:sz w:val="24"/>
          <w:szCs w:val="24"/>
        </w:rPr>
        <w:t xml:space="preserve"> </w:t>
      </w:r>
      <w:r w:rsidRPr="0075007A">
        <w:rPr>
          <w:color w:val="231F20"/>
          <w:sz w:val="24"/>
          <w:szCs w:val="24"/>
        </w:rPr>
        <w:t>in</w:t>
      </w:r>
      <w:r w:rsidRPr="0075007A">
        <w:rPr>
          <w:color w:val="231F20"/>
          <w:spacing w:val="-9"/>
          <w:sz w:val="24"/>
          <w:szCs w:val="24"/>
        </w:rPr>
        <w:t xml:space="preserve"> </w:t>
      </w:r>
      <w:r w:rsidRPr="0075007A">
        <w:rPr>
          <w:color w:val="231F20"/>
          <w:sz w:val="24"/>
          <w:szCs w:val="24"/>
        </w:rPr>
        <w:t>the</w:t>
      </w:r>
      <w:r w:rsidRPr="0075007A">
        <w:rPr>
          <w:color w:val="231F20"/>
          <w:spacing w:val="-9"/>
          <w:sz w:val="24"/>
          <w:szCs w:val="24"/>
        </w:rPr>
        <w:t xml:space="preserve"> </w:t>
      </w:r>
      <w:r w:rsidRPr="0075007A">
        <w:rPr>
          <w:color w:val="231F20"/>
          <w:sz w:val="24"/>
          <w:szCs w:val="24"/>
        </w:rPr>
        <w:t>profits</w:t>
      </w:r>
      <w:r w:rsidRPr="0075007A">
        <w:rPr>
          <w:color w:val="231F20"/>
          <w:spacing w:val="-9"/>
          <w:sz w:val="24"/>
          <w:szCs w:val="24"/>
        </w:rPr>
        <w:t xml:space="preserve"> </w:t>
      </w:r>
      <w:r w:rsidRPr="0075007A">
        <w:rPr>
          <w:color w:val="231F20"/>
          <w:sz w:val="24"/>
          <w:szCs w:val="24"/>
        </w:rPr>
        <w:t>resulting from a percentage change in the sales. It can be calculated with the help of the following formula:</w:t>
      </w:r>
    </w:p>
    <w:p w:rsidR="008A7B1D" w:rsidRPr="0075007A" w:rsidRDefault="008A7B1D" w:rsidP="003E0909">
      <w:pPr>
        <w:pStyle w:val="BodyText"/>
        <w:spacing w:before="108" w:line="290" w:lineRule="auto"/>
        <w:ind w:left="171" w:right="900" w:hanging="87"/>
        <w:rPr>
          <w:sz w:val="24"/>
          <w:szCs w:val="24"/>
        </w:rPr>
      </w:pPr>
      <w:r w:rsidRPr="0075007A">
        <w:rPr>
          <w:sz w:val="24"/>
          <w:szCs w:val="24"/>
        </w:rPr>
        <w:t>DOL =</w:t>
      </w:r>
      <w:r w:rsidR="003E0909" w:rsidRPr="0075007A">
        <w:rPr>
          <w:sz w:val="24"/>
          <w:szCs w:val="24"/>
        </w:rPr>
        <w:t xml:space="preserve"> Percentage change in profits/ Percentage change in sale</w:t>
      </w:r>
    </w:p>
    <w:p w:rsidR="0075007A" w:rsidRPr="0075007A" w:rsidRDefault="0075007A" w:rsidP="0075007A">
      <w:r>
        <w:t xml:space="preserve">                </w:t>
      </w:r>
    </w:p>
    <w:p w:rsidR="003E0909" w:rsidRDefault="003E0909" w:rsidP="003E0909">
      <w:pPr>
        <w:pStyle w:val="Heading2"/>
        <w:spacing w:before="159"/>
        <w:ind w:left="520"/>
        <w:rPr>
          <w:rFonts w:ascii="Book Antiqua"/>
        </w:rPr>
      </w:pPr>
      <w:r>
        <w:rPr>
          <w:rFonts w:ascii="Book Antiqua"/>
          <w:color w:val="231F20"/>
          <w:w w:val="115"/>
        </w:rPr>
        <w:t>Exercise 1</w:t>
      </w:r>
    </w:p>
    <w:p w:rsidR="003E0909" w:rsidRDefault="003E0909" w:rsidP="003E0909">
      <w:pPr>
        <w:pStyle w:val="BodyText"/>
        <w:spacing w:before="54"/>
        <w:ind w:right="978"/>
        <w:jc w:val="center"/>
      </w:pPr>
      <w:r>
        <w:rPr>
          <w:color w:val="231F20"/>
        </w:rPr>
        <w:t>From the following selected operating data, determine the degree of operating leverage.</w:t>
      </w:r>
    </w:p>
    <w:p w:rsidR="003E0909" w:rsidRDefault="003E0909" w:rsidP="003E0909">
      <w:pPr>
        <w:pStyle w:val="BodyText"/>
        <w:spacing w:before="16"/>
        <w:ind w:left="160"/>
      </w:pPr>
      <w:r>
        <w:rPr>
          <w:color w:val="231F20"/>
        </w:rPr>
        <w:t>Which company has the greater amount of business risk? Why?</w:t>
      </w:r>
    </w:p>
    <w:p w:rsidR="003E0909" w:rsidRDefault="003E0909" w:rsidP="003E0909">
      <w:pPr>
        <w:pStyle w:val="BodyText"/>
        <w:spacing w:before="7"/>
        <w:rPr>
          <w:sz w:val="17"/>
        </w:rPr>
      </w:pPr>
    </w:p>
    <w:tbl>
      <w:tblPr>
        <w:tblW w:w="0" w:type="auto"/>
        <w:tblInd w:w="10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741"/>
        <w:gridCol w:w="2222"/>
        <w:gridCol w:w="2049"/>
      </w:tblGrid>
      <w:tr w:rsidR="003E0909" w:rsidTr="0075007A">
        <w:trPr>
          <w:trHeight w:val="415"/>
        </w:trPr>
        <w:tc>
          <w:tcPr>
            <w:tcW w:w="2741" w:type="dxa"/>
            <w:shd w:val="clear" w:color="auto" w:fill="D1D3D4"/>
          </w:tcPr>
          <w:p w:rsidR="003E0909" w:rsidRDefault="003E0909" w:rsidP="0075007A">
            <w:pPr>
              <w:pStyle w:val="TableParagraph"/>
              <w:rPr>
                <w:rFonts w:ascii="Times New Roman"/>
                <w:sz w:val="20"/>
              </w:rPr>
            </w:pPr>
          </w:p>
        </w:tc>
        <w:tc>
          <w:tcPr>
            <w:tcW w:w="2222" w:type="dxa"/>
            <w:shd w:val="clear" w:color="auto" w:fill="D1D3D4"/>
          </w:tcPr>
          <w:p w:rsidR="003E0909" w:rsidRDefault="003E0909" w:rsidP="0075007A">
            <w:pPr>
              <w:pStyle w:val="TableParagraph"/>
              <w:spacing w:before="3" w:line="216" w:lineRule="exact"/>
              <w:ind w:left="690" w:right="607" w:hanging="356"/>
              <w:rPr>
                <w:b/>
                <w:sz w:val="18"/>
              </w:rPr>
            </w:pPr>
            <w:r>
              <w:rPr>
                <w:b/>
                <w:color w:val="231F20"/>
                <w:sz w:val="18"/>
              </w:rPr>
              <w:t>Company A Rs.</w:t>
            </w:r>
          </w:p>
        </w:tc>
        <w:tc>
          <w:tcPr>
            <w:tcW w:w="2049" w:type="dxa"/>
            <w:shd w:val="clear" w:color="auto" w:fill="D1D3D4"/>
          </w:tcPr>
          <w:p w:rsidR="003E0909" w:rsidRDefault="003E0909" w:rsidP="0075007A">
            <w:pPr>
              <w:pStyle w:val="TableParagraph"/>
              <w:spacing w:before="3" w:line="216" w:lineRule="exact"/>
              <w:ind w:left="1080" w:right="299" w:hanging="371"/>
              <w:rPr>
                <w:b/>
                <w:sz w:val="18"/>
              </w:rPr>
            </w:pPr>
            <w:r>
              <w:rPr>
                <w:b/>
                <w:color w:val="231F20"/>
                <w:sz w:val="18"/>
              </w:rPr>
              <w:t>Company B Rs.</w:t>
            </w:r>
          </w:p>
        </w:tc>
      </w:tr>
      <w:tr w:rsidR="003E0909" w:rsidTr="0075007A">
        <w:trPr>
          <w:trHeight w:val="198"/>
        </w:trPr>
        <w:tc>
          <w:tcPr>
            <w:tcW w:w="2741" w:type="dxa"/>
            <w:tcBorders>
              <w:bottom w:val="nil"/>
            </w:tcBorders>
          </w:tcPr>
          <w:p w:rsidR="003E0909" w:rsidRDefault="003E0909" w:rsidP="0075007A">
            <w:pPr>
              <w:pStyle w:val="TableParagraph"/>
              <w:spacing w:line="179" w:lineRule="exact"/>
              <w:ind w:left="100"/>
              <w:rPr>
                <w:sz w:val="18"/>
              </w:rPr>
            </w:pPr>
            <w:r>
              <w:rPr>
                <w:color w:val="231F20"/>
                <w:sz w:val="18"/>
              </w:rPr>
              <w:t>Sales</w:t>
            </w:r>
          </w:p>
        </w:tc>
        <w:tc>
          <w:tcPr>
            <w:tcW w:w="2222" w:type="dxa"/>
            <w:tcBorders>
              <w:bottom w:val="nil"/>
            </w:tcBorders>
          </w:tcPr>
          <w:p w:rsidR="003E0909" w:rsidRDefault="003E0909" w:rsidP="0075007A">
            <w:pPr>
              <w:pStyle w:val="TableParagraph"/>
              <w:spacing w:line="179" w:lineRule="exact"/>
              <w:ind w:left="407"/>
              <w:rPr>
                <w:sz w:val="18"/>
              </w:rPr>
            </w:pPr>
            <w:r>
              <w:rPr>
                <w:color w:val="231F20"/>
                <w:sz w:val="18"/>
              </w:rPr>
              <w:t>25,00,000</w:t>
            </w:r>
          </w:p>
        </w:tc>
        <w:tc>
          <w:tcPr>
            <w:tcW w:w="2049" w:type="dxa"/>
            <w:tcBorders>
              <w:bottom w:val="nil"/>
            </w:tcBorders>
          </w:tcPr>
          <w:p w:rsidR="003E0909" w:rsidRDefault="003E0909" w:rsidP="0075007A">
            <w:pPr>
              <w:pStyle w:val="TableParagraph"/>
              <w:spacing w:line="179" w:lineRule="exact"/>
              <w:ind w:right="390"/>
              <w:jc w:val="right"/>
              <w:rPr>
                <w:sz w:val="18"/>
              </w:rPr>
            </w:pPr>
            <w:r>
              <w:rPr>
                <w:color w:val="231F20"/>
                <w:w w:val="95"/>
                <w:sz w:val="18"/>
              </w:rPr>
              <w:t>30,00,000</w:t>
            </w:r>
          </w:p>
        </w:tc>
      </w:tr>
      <w:tr w:rsidR="003E0909" w:rsidTr="0075007A">
        <w:trPr>
          <w:trHeight w:val="308"/>
        </w:trPr>
        <w:tc>
          <w:tcPr>
            <w:tcW w:w="2741" w:type="dxa"/>
            <w:tcBorders>
              <w:top w:val="nil"/>
            </w:tcBorders>
          </w:tcPr>
          <w:p w:rsidR="003E0909" w:rsidRDefault="003E0909" w:rsidP="0075007A">
            <w:pPr>
              <w:pStyle w:val="TableParagraph"/>
              <w:spacing w:before="1"/>
              <w:ind w:left="100"/>
              <w:rPr>
                <w:sz w:val="18"/>
              </w:rPr>
            </w:pPr>
            <w:r>
              <w:rPr>
                <w:color w:val="231F20"/>
                <w:sz w:val="18"/>
              </w:rPr>
              <w:t>Fixed costs</w:t>
            </w:r>
          </w:p>
        </w:tc>
        <w:tc>
          <w:tcPr>
            <w:tcW w:w="2222" w:type="dxa"/>
            <w:tcBorders>
              <w:top w:val="nil"/>
            </w:tcBorders>
          </w:tcPr>
          <w:p w:rsidR="003E0909" w:rsidRDefault="003E0909" w:rsidP="0075007A">
            <w:pPr>
              <w:pStyle w:val="TableParagraph"/>
              <w:spacing w:before="1"/>
              <w:ind w:left="527"/>
              <w:rPr>
                <w:sz w:val="18"/>
              </w:rPr>
            </w:pPr>
            <w:r>
              <w:rPr>
                <w:color w:val="231F20"/>
                <w:sz w:val="18"/>
              </w:rPr>
              <w:t>7,50,000</w:t>
            </w:r>
          </w:p>
        </w:tc>
        <w:tc>
          <w:tcPr>
            <w:tcW w:w="2049" w:type="dxa"/>
            <w:tcBorders>
              <w:top w:val="nil"/>
            </w:tcBorders>
          </w:tcPr>
          <w:p w:rsidR="003E0909" w:rsidRDefault="003E0909" w:rsidP="0075007A">
            <w:pPr>
              <w:pStyle w:val="TableParagraph"/>
              <w:spacing w:before="1"/>
              <w:ind w:right="369"/>
              <w:jc w:val="right"/>
              <w:rPr>
                <w:sz w:val="18"/>
              </w:rPr>
            </w:pPr>
            <w:r>
              <w:rPr>
                <w:color w:val="231F20"/>
                <w:sz w:val="18"/>
              </w:rPr>
              <w:t>15,00,000</w:t>
            </w:r>
          </w:p>
        </w:tc>
      </w:tr>
    </w:tbl>
    <w:p w:rsidR="003E0909" w:rsidRDefault="003E0909" w:rsidP="003E0909">
      <w:pPr>
        <w:pStyle w:val="BodyText"/>
        <w:spacing w:before="152" w:line="254" w:lineRule="auto"/>
        <w:ind w:left="160" w:right="1609" w:firstLine="359"/>
      </w:pPr>
      <w:r>
        <w:rPr>
          <w:color w:val="231F20"/>
          <w:spacing w:val="-4"/>
        </w:rPr>
        <w:lastRenderedPageBreak/>
        <w:t xml:space="preserve">Variable </w:t>
      </w:r>
      <w:r>
        <w:rPr>
          <w:color w:val="231F20"/>
        </w:rPr>
        <w:t xml:space="preserve">expenses as a percentage of sales are 50% for company A and 25% </w:t>
      </w:r>
      <w:r>
        <w:rPr>
          <w:color w:val="231F20"/>
          <w:spacing w:val="-5"/>
        </w:rPr>
        <w:t xml:space="preserve">for  </w:t>
      </w:r>
      <w:r>
        <w:rPr>
          <w:color w:val="231F20"/>
        </w:rPr>
        <w:t>company</w:t>
      </w:r>
      <w:r>
        <w:rPr>
          <w:color w:val="231F20"/>
          <w:spacing w:val="29"/>
        </w:rPr>
        <w:t xml:space="preserve"> </w:t>
      </w:r>
      <w:r>
        <w:rPr>
          <w:color w:val="231F20"/>
          <w:spacing w:val="-5"/>
        </w:rPr>
        <w:t>B.</w:t>
      </w:r>
    </w:p>
    <w:p w:rsidR="003E0909" w:rsidRDefault="003E0909" w:rsidP="003E0909">
      <w:pPr>
        <w:pStyle w:val="Heading2"/>
        <w:spacing w:before="122"/>
        <w:ind w:left="520"/>
        <w:rPr>
          <w:rFonts w:ascii="Book Antiqua"/>
        </w:rPr>
      </w:pPr>
      <w:r>
        <w:rPr>
          <w:rFonts w:ascii="Book Antiqua"/>
          <w:color w:val="231F20"/>
        </w:rPr>
        <w:t>Solution</w:t>
      </w:r>
    </w:p>
    <w:p w:rsidR="003E0909" w:rsidRDefault="003E0909" w:rsidP="003E0909">
      <w:pPr>
        <w:tabs>
          <w:tab w:val="left" w:pos="1785"/>
        </w:tabs>
        <w:spacing w:before="124"/>
        <w:ind w:left="520"/>
        <w:rPr>
          <w:rFonts w:ascii="Book Antiqua"/>
          <w:b/>
        </w:rPr>
      </w:pPr>
      <w:r>
        <w:rPr>
          <w:rFonts w:ascii="Book Antiqua"/>
          <w:b/>
          <w:color w:val="231F20"/>
          <w:w w:val="105"/>
        </w:rPr>
        <w:t>Statement</w:t>
      </w:r>
      <w:r>
        <w:rPr>
          <w:rFonts w:ascii="Book Antiqua"/>
          <w:b/>
          <w:color w:val="231F20"/>
          <w:w w:val="105"/>
        </w:rPr>
        <w:tab/>
        <w:t>of</w:t>
      </w:r>
      <w:r>
        <w:rPr>
          <w:rFonts w:ascii="Book Antiqua"/>
          <w:b/>
          <w:color w:val="231F20"/>
          <w:spacing w:val="23"/>
          <w:w w:val="105"/>
        </w:rPr>
        <w:t xml:space="preserve"> </w:t>
      </w:r>
      <w:r>
        <w:rPr>
          <w:rFonts w:ascii="Book Antiqua"/>
          <w:b/>
          <w:color w:val="231F20"/>
          <w:w w:val="105"/>
        </w:rPr>
        <w:t>Profit</w:t>
      </w:r>
      <w:r w:rsidR="0075007A">
        <w:rPr>
          <w:rFonts w:ascii="Book Antiqua"/>
          <w:b/>
          <w:color w:val="231F20"/>
          <w:w w:val="105"/>
        </w:rPr>
        <w:t xml:space="preserve">      </w:t>
      </w:r>
    </w:p>
    <w:p w:rsidR="003E0909" w:rsidRDefault="003E0909" w:rsidP="003E0909">
      <w:pPr>
        <w:pStyle w:val="BodyText"/>
        <w:rPr>
          <w:rFonts w:ascii="Book Antiqua"/>
          <w:b/>
          <w:sz w:val="8"/>
        </w:rPr>
      </w:pPr>
    </w:p>
    <w:tbl>
      <w:tblPr>
        <w:tblW w:w="0" w:type="auto"/>
        <w:tblInd w:w="104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744"/>
        <w:gridCol w:w="2218"/>
        <w:gridCol w:w="2052"/>
      </w:tblGrid>
      <w:tr w:rsidR="003E0909" w:rsidTr="0075007A">
        <w:trPr>
          <w:trHeight w:val="420"/>
        </w:trPr>
        <w:tc>
          <w:tcPr>
            <w:tcW w:w="2744" w:type="dxa"/>
            <w:shd w:val="clear" w:color="auto" w:fill="D1D3D4"/>
          </w:tcPr>
          <w:p w:rsidR="003E0909" w:rsidRDefault="003E0909" w:rsidP="0075007A">
            <w:pPr>
              <w:pStyle w:val="TableParagraph"/>
              <w:rPr>
                <w:rFonts w:ascii="Times New Roman"/>
                <w:sz w:val="20"/>
              </w:rPr>
            </w:pPr>
          </w:p>
        </w:tc>
        <w:tc>
          <w:tcPr>
            <w:tcW w:w="2218" w:type="dxa"/>
            <w:shd w:val="clear" w:color="auto" w:fill="D1D3D4"/>
          </w:tcPr>
          <w:p w:rsidR="003E0909" w:rsidRDefault="003E0909" w:rsidP="0075007A">
            <w:pPr>
              <w:pStyle w:val="TableParagraph"/>
              <w:spacing w:line="200" w:lineRule="exact"/>
              <w:ind w:left="453" w:right="703"/>
              <w:jc w:val="center"/>
              <w:rPr>
                <w:b/>
                <w:sz w:val="18"/>
              </w:rPr>
            </w:pPr>
            <w:r>
              <w:rPr>
                <w:b/>
                <w:color w:val="231F20"/>
                <w:sz w:val="18"/>
              </w:rPr>
              <w:t>Company A</w:t>
            </w:r>
          </w:p>
          <w:p w:rsidR="003E0909" w:rsidRDefault="003E0909" w:rsidP="0075007A">
            <w:pPr>
              <w:pStyle w:val="TableParagraph"/>
              <w:spacing w:before="9" w:line="192" w:lineRule="exact"/>
              <w:ind w:left="440" w:right="703"/>
              <w:jc w:val="center"/>
              <w:rPr>
                <w:b/>
                <w:sz w:val="18"/>
              </w:rPr>
            </w:pPr>
            <w:r>
              <w:rPr>
                <w:b/>
                <w:color w:val="231F20"/>
                <w:sz w:val="18"/>
              </w:rPr>
              <w:t>Rs.</w:t>
            </w:r>
          </w:p>
        </w:tc>
        <w:tc>
          <w:tcPr>
            <w:tcW w:w="2052" w:type="dxa"/>
            <w:shd w:val="clear" w:color="auto" w:fill="D1D3D4"/>
          </w:tcPr>
          <w:p w:rsidR="003E0909" w:rsidRDefault="003E0909" w:rsidP="0075007A">
            <w:pPr>
              <w:pStyle w:val="TableParagraph"/>
              <w:spacing w:line="200" w:lineRule="exact"/>
              <w:ind w:left="526" w:right="465"/>
              <w:jc w:val="center"/>
              <w:rPr>
                <w:b/>
                <w:sz w:val="18"/>
              </w:rPr>
            </w:pPr>
            <w:r>
              <w:rPr>
                <w:b/>
                <w:color w:val="231F20"/>
                <w:sz w:val="18"/>
              </w:rPr>
              <w:t>Company B</w:t>
            </w:r>
          </w:p>
          <w:p w:rsidR="003E0909" w:rsidRDefault="003E0909" w:rsidP="0075007A">
            <w:pPr>
              <w:pStyle w:val="TableParagraph"/>
              <w:spacing w:before="9" w:line="192" w:lineRule="exact"/>
              <w:ind w:left="517" w:right="465"/>
              <w:jc w:val="center"/>
              <w:rPr>
                <w:b/>
                <w:sz w:val="18"/>
              </w:rPr>
            </w:pPr>
            <w:r>
              <w:rPr>
                <w:b/>
                <w:color w:val="231F20"/>
                <w:sz w:val="18"/>
              </w:rPr>
              <w:t>Rs.</w:t>
            </w:r>
          </w:p>
        </w:tc>
      </w:tr>
      <w:tr w:rsidR="003E0909" w:rsidTr="0075007A">
        <w:trPr>
          <w:trHeight w:val="263"/>
        </w:trPr>
        <w:tc>
          <w:tcPr>
            <w:tcW w:w="2744" w:type="dxa"/>
            <w:tcBorders>
              <w:bottom w:val="nil"/>
            </w:tcBorders>
          </w:tcPr>
          <w:p w:rsidR="003E0909" w:rsidRDefault="003E0909" w:rsidP="0075007A">
            <w:pPr>
              <w:pStyle w:val="TableParagraph"/>
              <w:spacing w:before="27"/>
              <w:ind w:left="69"/>
              <w:rPr>
                <w:sz w:val="18"/>
              </w:rPr>
            </w:pPr>
            <w:r>
              <w:rPr>
                <w:color w:val="231F20"/>
                <w:sz w:val="18"/>
              </w:rPr>
              <w:t>Sales</w:t>
            </w:r>
          </w:p>
        </w:tc>
        <w:tc>
          <w:tcPr>
            <w:tcW w:w="2218" w:type="dxa"/>
            <w:tcBorders>
              <w:bottom w:val="nil"/>
            </w:tcBorders>
          </w:tcPr>
          <w:p w:rsidR="003E0909" w:rsidRDefault="003E0909" w:rsidP="0075007A">
            <w:pPr>
              <w:pStyle w:val="TableParagraph"/>
              <w:spacing w:before="27"/>
              <w:ind w:right="771"/>
              <w:jc w:val="right"/>
              <w:rPr>
                <w:sz w:val="18"/>
              </w:rPr>
            </w:pPr>
            <w:r>
              <w:rPr>
                <w:color w:val="231F20"/>
                <w:w w:val="95"/>
                <w:sz w:val="18"/>
              </w:rPr>
              <w:t>25,00,000</w:t>
            </w:r>
          </w:p>
        </w:tc>
        <w:tc>
          <w:tcPr>
            <w:tcW w:w="2052" w:type="dxa"/>
            <w:tcBorders>
              <w:bottom w:val="nil"/>
            </w:tcBorders>
          </w:tcPr>
          <w:p w:rsidR="003E0909" w:rsidRDefault="003E0909" w:rsidP="0075007A">
            <w:pPr>
              <w:pStyle w:val="TableParagraph"/>
              <w:spacing w:before="27"/>
              <w:ind w:right="485"/>
              <w:jc w:val="right"/>
              <w:rPr>
                <w:sz w:val="18"/>
              </w:rPr>
            </w:pPr>
            <w:r>
              <w:rPr>
                <w:color w:val="231F20"/>
                <w:w w:val="95"/>
                <w:sz w:val="18"/>
              </w:rPr>
              <w:t>30,00,000</w:t>
            </w:r>
          </w:p>
        </w:tc>
      </w:tr>
      <w:tr w:rsidR="003E0909" w:rsidTr="0075007A">
        <w:trPr>
          <w:trHeight w:val="273"/>
        </w:trPr>
        <w:tc>
          <w:tcPr>
            <w:tcW w:w="2744" w:type="dxa"/>
            <w:tcBorders>
              <w:top w:val="nil"/>
              <w:bottom w:val="nil"/>
            </w:tcBorders>
          </w:tcPr>
          <w:p w:rsidR="003E0909" w:rsidRDefault="003E0909" w:rsidP="0075007A">
            <w:pPr>
              <w:pStyle w:val="TableParagraph"/>
              <w:spacing w:before="23"/>
              <w:ind w:left="69"/>
              <w:rPr>
                <w:sz w:val="18"/>
              </w:rPr>
            </w:pPr>
            <w:r>
              <w:rPr>
                <w:color w:val="231F20"/>
                <w:sz w:val="18"/>
              </w:rPr>
              <w:t>Variable cost</w:t>
            </w:r>
          </w:p>
        </w:tc>
        <w:tc>
          <w:tcPr>
            <w:tcW w:w="2218" w:type="dxa"/>
            <w:tcBorders>
              <w:top w:val="nil"/>
              <w:bottom w:val="nil"/>
            </w:tcBorders>
          </w:tcPr>
          <w:p w:rsidR="003E0909" w:rsidRDefault="003E0909" w:rsidP="0075007A">
            <w:pPr>
              <w:pStyle w:val="TableParagraph"/>
              <w:spacing w:before="23"/>
              <w:ind w:right="771"/>
              <w:jc w:val="right"/>
              <w:rPr>
                <w:sz w:val="18"/>
              </w:rPr>
            </w:pPr>
            <w:r>
              <w:rPr>
                <w:color w:val="231F20"/>
                <w:w w:val="95"/>
                <w:sz w:val="18"/>
              </w:rPr>
              <w:t>12,50,000</w:t>
            </w:r>
          </w:p>
        </w:tc>
        <w:tc>
          <w:tcPr>
            <w:tcW w:w="2052" w:type="dxa"/>
            <w:tcBorders>
              <w:top w:val="nil"/>
              <w:bottom w:val="nil"/>
            </w:tcBorders>
          </w:tcPr>
          <w:p w:rsidR="003E0909" w:rsidRDefault="003E0909" w:rsidP="0075007A">
            <w:pPr>
              <w:pStyle w:val="TableParagraph"/>
              <w:spacing w:before="23"/>
              <w:ind w:right="485"/>
              <w:jc w:val="right"/>
              <w:rPr>
                <w:sz w:val="18"/>
              </w:rPr>
            </w:pPr>
            <w:r>
              <w:rPr>
                <w:color w:val="231F20"/>
                <w:w w:val="95"/>
                <w:sz w:val="18"/>
              </w:rPr>
              <w:t>7,50,000</w:t>
            </w:r>
          </w:p>
        </w:tc>
      </w:tr>
      <w:tr w:rsidR="003E0909" w:rsidTr="0075007A">
        <w:trPr>
          <w:trHeight w:val="287"/>
        </w:trPr>
        <w:tc>
          <w:tcPr>
            <w:tcW w:w="2744" w:type="dxa"/>
            <w:tcBorders>
              <w:top w:val="nil"/>
              <w:bottom w:val="nil"/>
            </w:tcBorders>
          </w:tcPr>
          <w:p w:rsidR="003E0909" w:rsidRDefault="003E0909" w:rsidP="0075007A">
            <w:pPr>
              <w:pStyle w:val="TableParagraph"/>
              <w:spacing w:before="37"/>
              <w:ind w:left="69"/>
              <w:rPr>
                <w:sz w:val="18"/>
              </w:rPr>
            </w:pPr>
            <w:r>
              <w:rPr>
                <w:color w:val="231F20"/>
                <w:sz w:val="18"/>
              </w:rPr>
              <w:t>Contribution</w:t>
            </w:r>
          </w:p>
        </w:tc>
        <w:tc>
          <w:tcPr>
            <w:tcW w:w="2218" w:type="dxa"/>
            <w:tcBorders>
              <w:top w:val="nil"/>
              <w:bottom w:val="nil"/>
            </w:tcBorders>
          </w:tcPr>
          <w:p w:rsidR="003E0909" w:rsidRDefault="003E0909" w:rsidP="0075007A">
            <w:pPr>
              <w:pStyle w:val="TableParagraph"/>
              <w:spacing w:before="37"/>
              <w:ind w:right="769"/>
              <w:jc w:val="right"/>
              <w:rPr>
                <w:sz w:val="18"/>
              </w:rPr>
            </w:pPr>
            <w:r>
              <w:rPr>
                <w:color w:val="231F20"/>
                <w:w w:val="95"/>
                <w:sz w:val="18"/>
              </w:rPr>
              <w:t>12,50,000</w:t>
            </w:r>
          </w:p>
        </w:tc>
        <w:tc>
          <w:tcPr>
            <w:tcW w:w="2052" w:type="dxa"/>
            <w:tcBorders>
              <w:top w:val="nil"/>
              <w:bottom w:val="nil"/>
            </w:tcBorders>
          </w:tcPr>
          <w:p w:rsidR="003E0909" w:rsidRDefault="003E0909" w:rsidP="0075007A">
            <w:pPr>
              <w:pStyle w:val="TableParagraph"/>
              <w:spacing w:before="37"/>
              <w:ind w:right="485"/>
              <w:jc w:val="right"/>
              <w:rPr>
                <w:sz w:val="18"/>
              </w:rPr>
            </w:pPr>
            <w:r>
              <w:rPr>
                <w:color w:val="231F20"/>
                <w:w w:val="95"/>
                <w:sz w:val="18"/>
              </w:rPr>
              <w:t>22,50,000</w:t>
            </w:r>
          </w:p>
        </w:tc>
      </w:tr>
      <w:tr w:rsidR="003E0909" w:rsidTr="0075007A">
        <w:trPr>
          <w:trHeight w:val="287"/>
        </w:trPr>
        <w:tc>
          <w:tcPr>
            <w:tcW w:w="2744" w:type="dxa"/>
            <w:tcBorders>
              <w:top w:val="nil"/>
              <w:bottom w:val="nil"/>
            </w:tcBorders>
          </w:tcPr>
          <w:p w:rsidR="003E0909" w:rsidRDefault="003E0909" w:rsidP="0075007A">
            <w:pPr>
              <w:pStyle w:val="TableParagraph"/>
              <w:spacing w:before="37"/>
              <w:ind w:left="69"/>
              <w:rPr>
                <w:sz w:val="18"/>
              </w:rPr>
            </w:pPr>
            <w:r>
              <w:rPr>
                <w:color w:val="231F20"/>
                <w:sz w:val="18"/>
              </w:rPr>
              <w:t>Fixed cost</w:t>
            </w:r>
          </w:p>
        </w:tc>
        <w:tc>
          <w:tcPr>
            <w:tcW w:w="2218" w:type="dxa"/>
            <w:tcBorders>
              <w:top w:val="nil"/>
              <w:bottom w:val="nil"/>
            </w:tcBorders>
          </w:tcPr>
          <w:p w:rsidR="003E0909" w:rsidRDefault="003E0909" w:rsidP="0075007A">
            <w:pPr>
              <w:pStyle w:val="TableParagraph"/>
              <w:spacing w:before="37"/>
              <w:ind w:right="770"/>
              <w:jc w:val="right"/>
              <w:rPr>
                <w:sz w:val="18"/>
              </w:rPr>
            </w:pPr>
            <w:r>
              <w:rPr>
                <w:color w:val="231F20"/>
                <w:w w:val="95"/>
                <w:sz w:val="18"/>
              </w:rPr>
              <w:t>7,50,000</w:t>
            </w:r>
          </w:p>
        </w:tc>
        <w:tc>
          <w:tcPr>
            <w:tcW w:w="2052" w:type="dxa"/>
            <w:tcBorders>
              <w:top w:val="nil"/>
              <w:bottom w:val="nil"/>
            </w:tcBorders>
          </w:tcPr>
          <w:p w:rsidR="003E0909" w:rsidRDefault="003E0909" w:rsidP="0075007A">
            <w:pPr>
              <w:pStyle w:val="TableParagraph"/>
              <w:spacing w:before="37"/>
              <w:ind w:right="485"/>
              <w:jc w:val="right"/>
              <w:rPr>
                <w:sz w:val="18"/>
              </w:rPr>
            </w:pPr>
            <w:r>
              <w:rPr>
                <w:color w:val="231F20"/>
                <w:w w:val="95"/>
                <w:sz w:val="18"/>
              </w:rPr>
              <w:t>15,00,000</w:t>
            </w:r>
          </w:p>
        </w:tc>
      </w:tr>
      <w:tr w:rsidR="003E0909" w:rsidTr="0075007A">
        <w:trPr>
          <w:trHeight w:val="365"/>
        </w:trPr>
        <w:tc>
          <w:tcPr>
            <w:tcW w:w="2744" w:type="dxa"/>
            <w:tcBorders>
              <w:top w:val="nil"/>
            </w:tcBorders>
          </w:tcPr>
          <w:p w:rsidR="003E0909" w:rsidRDefault="003E0909" w:rsidP="0075007A">
            <w:pPr>
              <w:pStyle w:val="TableParagraph"/>
              <w:spacing w:before="37"/>
              <w:ind w:left="69"/>
              <w:rPr>
                <w:sz w:val="18"/>
              </w:rPr>
            </w:pPr>
            <w:r>
              <w:rPr>
                <w:color w:val="231F20"/>
                <w:sz w:val="18"/>
              </w:rPr>
              <w:t>Operating Profit</w:t>
            </w:r>
          </w:p>
        </w:tc>
        <w:tc>
          <w:tcPr>
            <w:tcW w:w="2218" w:type="dxa"/>
            <w:tcBorders>
              <w:top w:val="nil"/>
            </w:tcBorders>
          </w:tcPr>
          <w:p w:rsidR="003E0909" w:rsidRDefault="005C14FA" w:rsidP="0075007A">
            <w:pPr>
              <w:pStyle w:val="TableParagraph"/>
              <w:spacing w:line="20" w:lineRule="exact"/>
              <w:ind w:left="478"/>
              <w:rPr>
                <w:rFonts w:ascii="Book Antiqua"/>
                <w:sz w:val="2"/>
              </w:rPr>
            </w:pPr>
            <w:r>
              <w:rPr>
                <w:rFonts w:ascii="Book Antiqua"/>
                <w:sz w:val="2"/>
              </w:rPr>
            </w:r>
            <w:r>
              <w:rPr>
                <w:rFonts w:ascii="Book Antiqua"/>
                <w:sz w:val="2"/>
              </w:rPr>
              <w:pict>
                <v:group id="_x0000_s1044" style="width:52.35pt;height:1pt;mso-position-horizontal-relative:char;mso-position-vertical-relative:line" coordsize="1047,20">
                  <v:line id="_x0000_s1045" style="position:absolute" from="0,10" to="1046,10" strokecolor="#231f20" strokeweight=".96pt"/>
                  <w10:wrap type="none"/>
                  <w10:anchorlock/>
                </v:group>
              </w:pict>
            </w:r>
          </w:p>
          <w:p w:rsidR="003E0909" w:rsidRDefault="003E0909" w:rsidP="0075007A">
            <w:pPr>
              <w:pStyle w:val="TableParagraph"/>
              <w:spacing w:before="17"/>
              <w:ind w:right="771"/>
              <w:jc w:val="right"/>
              <w:rPr>
                <w:sz w:val="18"/>
              </w:rPr>
            </w:pPr>
            <w:r>
              <w:rPr>
                <w:color w:val="231F20"/>
                <w:w w:val="95"/>
                <w:sz w:val="18"/>
              </w:rPr>
              <w:t>5,00,000</w:t>
            </w:r>
          </w:p>
        </w:tc>
        <w:tc>
          <w:tcPr>
            <w:tcW w:w="2052" w:type="dxa"/>
            <w:tcBorders>
              <w:top w:val="nil"/>
            </w:tcBorders>
          </w:tcPr>
          <w:p w:rsidR="003E0909" w:rsidRDefault="003E0909" w:rsidP="0075007A">
            <w:pPr>
              <w:pStyle w:val="TableParagraph"/>
              <w:spacing w:before="37"/>
              <w:ind w:right="485"/>
              <w:jc w:val="right"/>
              <w:rPr>
                <w:sz w:val="18"/>
              </w:rPr>
            </w:pPr>
            <w:r>
              <w:rPr>
                <w:color w:val="231F20"/>
                <w:w w:val="95"/>
                <w:sz w:val="18"/>
              </w:rPr>
              <w:t>7,50,000</w:t>
            </w:r>
          </w:p>
        </w:tc>
      </w:tr>
    </w:tbl>
    <w:p w:rsidR="003E0909" w:rsidRDefault="003E0909" w:rsidP="003E0909">
      <w:pPr>
        <w:pStyle w:val="BodyText"/>
        <w:spacing w:before="9"/>
        <w:rPr>
          <w:rFonts w:ascii="Book Antiqua"/>
          <w:b/>
          <w:sz w:val="20"/>
        </w:rPr>
      </w:pPr>
    </w:p>
    <w:p w:rsidR="003E0909" w:rsidRDefault="005C14FA" w:rsidP="003E0909">
      <w:pPr>
        <w:pStyle w:val="BodyText"/>
        <w:spacing w:line="350" w:lineRule="exact"/>
        <w:ind w:left="1494"/>
      </w:pPr>
      <w:r>
        <w:pict>
          <v:line id="_x0000_s1047" style="position:absolute;left:0;text-align:left;z-index:-251655168;mso-position-horizontal-relative:page" from="295.45pt,-16.15pt" to="347.75pt,-16.15pt" strokecolor="#231f20" strokeweight=".96pt">
            <w10:wrap anchorx="page"/>
          </v:line>
        </w:pict>
      </w:r>
      <w:r w:rsidR="003E0909">
        <w:rPr>
          <w:color w:val="231F20"/>
          <w:w w:val="110"/>
        </w:rPr>
        <w:t xml:space="preserve">Operating Leverage </w:t>
      </w:r>
      <w:r w:rsidR="003E0909">
        <w:rPr>
          <w:color w:val="231F20"/>
          <w:w w:val="150"/>
        </w:rPr>
        <w:t>=</w:t>
      </w:r>
      <w:r w:rsidR="003E0909">
        <w:rPr>
          <w:w w:val="150"/>
          <w:position w:val="13"/>
          <w:u w:val="single"/>
        </w:rPr>
        <w:t xml:space="preserve"> </w:t>
      </w:r>
      <w:r w:rsidR="003E0909">
        <w:rPr>
          <w:w w:val="110"/>
          <w:position w:val="13"/>
          <w:u w:val="single"/>
        </w:rPr>
        <w:t>Contribution</w:t>
      </w:r>
      <w:r w:rsidR="003E0909">
        <w:rPr>
          <w:position w:val="13"/>
          <w:u w:val="single"/>
        </w:rPr>
        <w:t xml:space="preserve"> </w:t>
      </w:r>
    </w:p>
    <w:p w:rsidR="003E0909" w:rsidRDefault="003E0909" w:rsidP="003E0909">
      <w:pPr>
        <w:pStyle w:val="BodyText"/>
        <w:spacing w:line="220" w:lineRule="exact"/>
        <w:ind w:right="1039"/>
        <w:jc w:val="center"/>
      </w:pPr>
      <w:r>
        <w:t>Operating Profit</w:t>
      </w:r>
    </w:p>
    <w:p w:rsidR="003E0909" w:rsidRDefault="003E0909" w:rsidP="003E0909">
      <w:pPr>
        <w:pStyle w:val="BodyText"/>
        <w:rPr>
          <w:sz w:val="20"/>
        </w:rPr>
      </w:pPr>
    </w:p>
    <w:p w:rsidR="003E0909" w:rsidRDefault="003E0909" w:rsidP="003E0909">
      <w:pPr>
        <w:rPr>
          <w:sz w:val="20"/>
        </w:rPr>
        <w:sectPr w:rsidR="003E0909" w:rsidSect="0075007A">
          <w:pgSz w:w="12240" w:h="15840"/>
          <w:pgMar w:top="1260" w:right="300" w:bottom="280" w:left="1640" w:header="2254" w:footer="0" w:gutter="0"/>
          <w:cols w:space="720"/>
        </w:sectPr>
      </w:pPr>
    </w:p>
    <w:p w:rsidR="003E0909" w:rsidRDefault="003E0909" w:rsidP="003E0909">
      <w:pPr>
        <w:pStyle w:val="BodyText"/>
        <w:tabs>
          <w:tab w:val="left" w:pos="1508"/>
        </w:tabs>
        <w:spacing w:before="72" w:line="620" w:lineRule="atLeast"/>
        <w:ind w:left="956" w:hanging="20"/>
      </w:pPr>
      <w:r>
        <w:rPr>
          <w:color w:val="231F20"/>
          <w:spacing w:val="-13"/>
          <w:w w:val="110"/>
        </w:rPr>
        <w:lastRenderedPageBreak/>
        <w:t>“A”</w:t>
      </w:r>
      <w:r>
        <w:rPr>
          <w:color w:val="231F20"/>
          <w:spacing w:val="-13"/>
          <w:w w:val="110"/>
        </w:rPr>
        <w:tab/>
      </w:r>
      <w:r>
        <w:rPr>
          <w:color w:val="231F20"/>
          <w:w w:val="110"/>
        </w:rPr>
        <w:t xml:space="preserve">Company Leverage </w:t>
      </w:r>
      <w:r>
        <w:rPr>
          <w:color w:val="231F20"/>
          <w:spacing w:val="-14"/>
          <w:w w:val="150"/>
        </w:rPr>
        <w:t>=</w:t>
      </w:r>
      <w:bookmarkStart w:id="9" w:name="Uses_of_Operating_Leverage"/>
      <w:bookmarkEnd w:id="9"/>
      <w:r>
        <w:rPr>
          <w:color w:val="231F20"/>
          <w:spacing w:val="-14"/>
          <w:w w:val="150"/>
        </w:rPr>
        <w:t xml:space="preserve"> </w:t>
      </w:r>
      <w:r>
        <w:rPr>
          <w:color w:val="231F20"/>
          <w:w w:val="110"/>
        </w:rPr>
        <w:t>“B”</w:t>
      </w:r>
      <w:r>
        <w:rPr>
          <w:color w:val="231F20"/>
          <w:w w:val="110"/>
        </w:rPr>
        <w:tab/>
        <w:t>Company Leverage</w:t>
      </w:r>
      <w:r>
        <w:rPr>
          <w:color w:val="231F20"/>
          <w:spacing w:val="2"/>
          <w:w w:val="110"/>
        </w:rPr>
        <w:t xml:space="preserve"> </w:t>
      </w:r>
      <w:r>
        <w:rPr>
          <w:color w:val="231F20"/>
          <w:spacing w:val="-17"/>
          <w:w w:val="150"/>
        </w:rPr>
        <w:t>=</w:t>
      </w:r>
    </w:p>
    <w:p w:rsidR="003E0909" w:rsidRDefault="003E0909" w:rsidP="003E0909">
      <w:pPr>
        <w:pStyle w:val="BodyText"/>
        <w:spacing w:before="5"/>
      </w:pPr>
    </w:p>
    <w:p w:rsidR="00383427" w:rsidRDefault="00383427" w:rsidP="003E0909">
      <w:pPr>
        <w:pStyle w:val="Heading2"/>
        <w:spacing w:before="0"/>
        <w:rPr>
          <w:color w:val="231F20"/>
        </w:rPr>
      </w:pPr>
    </w:p>
    <w:p w:rsidR="00383427" w:rsidRDefault="00383427" w:rsidP="003E0909">
      <w:pPr>
        <w:pStyle w:val="Heading2"/>
        <w:spacing w:before="0"/>
        <w:rPr>
          <w:color w:val="231F20"/>
        </w:rPr>
      </w:pPr>
    </w:p>
    <w:p w:rsidR="003E0909" w:rsidRDefault="003E0909" w:rsidP="003E0909">
      <w:pPr>
        <w:pStyle w:val="Heading2"/>
        <w:spacing w:before="0"/>
      </w:pPr>
      <w:r>
        <w:rPr>
          <w:color w:val="231F20"/>
        </w:rPr>
        <w:t>Comments</w:t>
      </w:r>
    </w:p>
    <w:p w:rsidR="003E0909" w:rsidRDefault="003E0909" w:rsidP="003E0909">
      <w:pPr>
        <w:pStyle w:val="BodyText"/>
        <w:spacing w:before="6"/>
        <w:rPr>
          <w:rFonts w:ascii="Arial"/>
          <w:b/>
          <w:sz w:val="21"/>
        </w:rPr>
      </w:pPr>
      <w:r>
        <w:br w:type="column"/>
      </w:r>
    </w:p>
    <w:p w:rsidR="003E0909" w:rsidRDefault="003E0909" w:rsidP="003E0909">
      <w:pPr>
        <w:pStyle w:val="BodyText"/>
        <w:spacing w:line="220" w:lineRule="exact"/>
        <w:ind w:left="66"/>
      </w:pPr>
      <w:r>
        <w:t>12,50,000</w:t>
      </w:r>
    </w:p>
    <w:p w:rsidR="003E0909" w:rsidRDefault="005C14FA" w:rsidP="003E0909">
      <w:pPr>
        <w:pStyle w:val="BodyText"/>
        <w:spacing w:line="330" w:lineRule="exact"/>
        <w:ind w:left="123"/>
      </w:pPr>
      <w:r>
        <w:pict>
          <v:line id="_x0000_s1046" style="position:absolute;left:0;text-align:left;z-index:-251656192;mso-position-horizontal-relative:page" from="274.1pt,3.25pt" to="318.25pt,3.25pt" strokeweight=".48pt">
            <w10:wrap anchorx="page"/>
          </v:line>
        </w:pict>
      </w:r>
      <w:r w:rsidR="003E0909">
        <w:rPr>
          <w:w w:val="115"/>
        </w:rPr>
        <w:t xml:space="preserve">5,00,000 </w:t>
      </w:r>
      <w:r w:rsidR="003E0909">
        <w:rPr>
          <w:color w:val="231F20"/>
          <w:w w:val="150"/>
          <w:position w:val="11"/>
        </w:rPr>
        <w:t xml:space="preserve">= </w:t>
      </w:r>
      <w:r w:rsidR="003E0909">
        <w:rPr>
          <w:color w:val="231F20"/>
          <w:w w:val="115"/>
          <w:position w:val="11"/>
        </w:rPr>
        <w:t>2.5</w:t>
      </w:r>
    </w:p>
    <w:p w:rsidR="003E0909" w:rsidRDefault="003E0909" w:rsidP="003E0909">
      <w:pPr>
        <w:pStyle w:val="BodyText"/>
        <w:spacing w:before="63" w:line="223" w:lineRule="exact"/>
        <w:ind w:left="85"/>
      </w:pPr>
      <w:r>
        <w:t>2,25,000</w:t>
      </w:r>
    </w:p>
    <w:p w:rsidR="003E0909" w:rsidRDefault="003E0909" w:rsidP="003E0909">
      <w:pPr>
        <w:pStyle w:val="BodyText"/>
        <w:spacing w:before="5"/>
        <w:rPr>
          <w:sz w:val="5"/>
        </w:rPr>
      </w:pPr>
    </w:p>
    <w:p w:rsidR="003E0909" w:rsidRDefault="005C14FA" w:rsidP="003E0909">
      <w:pPr>
        <w:pStyle w:val="BodyText"/>
        <w:spacing w:line="20" w:lineRule="exact"/>
        <w:ind w:left="65"/>
        <w:rPr>
          <w:sz w:val="2"/>
        </w:rPr>
      </w:pPr>
      <w:r>
        <w:rPr>
          <w:sz w:val="2"/>
        </w:rPr>
      </w:r>
      <w:r>
        <w:rPr>
          <w:sz w:val="2"/>
        </w:rPr>
        <w:pict>
          <v:group id="_x0000_s1042" style="width:41.8pt;height:.5pt;mso-position-horizontal-relative:char;mso-position-vertical-relative:line" coordsize="836,10">
            <v:line id="_x0000_s1043" style="position:absolute" from="0,5" to="835,5" strokeweight=".48pt"/>
            <w10:wrap type="none"/>
            <w10:anchorlock/>
          </v:group>
        </w:pict>
      </w:r>
    </w:p>
    <w:p w:rsidR="003E0909" w:rsidRDefault="003E0909" w:rsidP="003E0909">
      <w:pPr>
        <w:pStyle w:val="BodyText"/>
        <w:spacing w:line="260" w:lineRule="exact"/>
        <w:ind w:left="75"/>
      </w:pPr>
      <w:r>
        <w:rPr>
          <w:w w:val="115"/>
        </w:rPr>
        <w:t xml:space="preserve">7,50,000 </w:t>
      </w:r>
      <w:r>
        <w:rPr>
          <w:color w:val="231F20"/>
          <w:w w:val="150"/>
          <w:position w:val="12"/>
        </w:rPr>
        <w:t xml:space="preserve">= </w:t>
      </w:r>
      <w:r>
        <w:rPr>
          <w:color w:val="231F20"/>
          <w:w w:val="115"/>
          <w:position w:val="12"/>
        </w:rPr>
        <w:t>3</w:t>
      </w:r>
    </w:p>
    <w:p w:rsidR="003E0909" w:rsidRDefault="003E0909" w:rsidP="003E0909">
      <w:pPr>
        <w:spacing w:line="260" w:lineRule="exact"/>
        <w:sectPr w:rsidR="003E0909">
          <w:type w:val="continuous"/>
          <w:pgSz w:w="12240" w:h="15840"/>
          <w:pgMar w:top="1500" w:right="300" w:bottom="280" w:left="1640" w:header="720" w:footer="720" w:gutter="0"/>
          <w:cols w:num="2" w:space="720" w:equalWidth="0">
            <w:col w:w="3731" w:space="40"/>
            <w:col w:w="6529"/>
          </w:cols>
        </w:sectPr>
      </w:pPr>
    </w:p>
    <w:p w:rsidR="003E0909" w:rsidRPr="0075007A" w:rsidRDefault="003E0909" w:rsidP="003E0909">
      <w:pPr>
        <w:pStyle w:val="BodyText"/>
        <w:spacing w:before="61" w:line="256" w:lineRule="auto"/>
        <w:ind w:left="160" w:right="1497"/>
        <w:jc w:val="both"/>
        <w:rPr>
          <w:sz w:val="24"/>
          <w:szCs w:val="24"/>
        </w:rPr>
      </w:pPr>
      <w:r w:rsidRPr="0075007A">
        <w:rPr>
          <w:color w:val="231F20"/>
          <w:sz w:val="24"/>
          <w:szCs w:val="24"/>
        </w:rPr>
        <w:lastRenderedPageBreak/>
        <w:t>Operating leverage for B Company is higher than that of A Company; B Company has a higher degree of operating risk. The tendency of operating profit may vary portionately with</w:t>
      </w:r>
      <w:r w:rsidRPr="0075007A">
        <w:rPr>
          <w:color w:val="231F20"/>
          <w:spacing w:val="23"/>
          <w:sz w:val="24"/>
          <w:szCs w:val="24"/>
        </w:rPr>
        <w:t xml:space="preserve"> </w:t>
      </w:r>
      <w:r w:rsidRPr="0075007A">
        <w:rPr>
          <w:color w:val="231F20"/>
          <w:sz w:val="24"/>
          <w:szCs w:val="24"/>
        </w:rPr>
        <w:t>sales,</w:t>
      </w:r>
      <w:r w:rsidRPr="0075007A">
        <w:rPr>
          <w:color w:val="231F20"/>
          <w:spacing w:val="24"/>
          <w:sz w:val="24"/>
          <w:szCs w:val="24"/>
        </w:rPr>
        <w:t xml:space="preserve"> </w:t>
      </w:r>
      <w:r w:rsidRPr="0075007A">
        <w:rPr>
          <w:color w:val="231F20"/>
          <w:sz w:val="24"/>
          <w:szCs w:val="24"/>
        </w:rPr>
        <w:t>is</w:t>
      </w:r>
      <w:r w:rsidRPr="0075007A">
        <w:rPr>
          <w:color w:val="231F20"/>
          <w:spacing w:val="23"/>
          <w:sz w:val="24"/>
          <w:szCs w:val="24"/>
        </w:rPr>
        <w:t xml:space="preserve"> </w:t>
      </w:r>
      <w:r w:rsidRPr="0075007A">
        <w:rPr>
          <w:color w:val="231F20"/>
          <w:sz w:val="24"/>
          <w:szCs w:val="24"/>
        </w:rPr>
        <w:t>higher</w:t>
      </w:r>
      <w:r w:rsidRPr="0075007A">
        <w:rPr>
          <w:color w:val="231F20"/>
          <w:spacing w:val="24"/>
          <w:sz w:val="24"/>
          <w:szCs w:val="24"/>
        </w:rPr>
        <w:t xml:space="preserve"> </w:t>
      </w:r>
      <w:r w:rsidRPr="0075007A">
        <w:rPr>
          <w:color w:val="231F20"/>
          <w:sz w:val="24"/>
          <w:szCs w:val="24"/>
        </w:rPr>
        <w:t>for</w:t>
      </w:r>
      <w:r w:rsidRPr="0075007A">
        <w:rPr>
          <w:color w:val="231F20"/>
          <w:spacing w:val="23"/>
          <w:sz w:val="24"/>
          <w:szCs w:val="24"/>
        </w:rPr>
        <w:t xml:space="preserve"> </w:t>
      </w:r>
      <w:r w:rsidRPr="0075007A">
        <w:rPr>
          <w:color w:val="231F20"/>
          <w:sz w:val="24"/>
          <w:szCs w:val="24"/>
        </w:rPr>
        <w:t>B</w:t>
      </w:r>
      <w:r w:rsidRPr="0075007A">
        <w:rPr>
          <w:color w:val="231F20"/>
          <w:spacing w:val="24"/>
          <w:sz w:val="24"/>
          <w:szCs w:val="24"/>
        </w:rPr>
        <w:t xml:space="preserve"> </w:t>
      </w:r>
      <w:r w:rsidRPr="0075007A">
        <w:rPr>
          <w:color w:val="231F20"/>
          <w:sz w:val="24"/>
          <w:szCs w:val="24"/>
        </w:rPr>
        <w:t>Company</w:t>
      </w:r>
      <w:r w:rsidRPr="0075007A">
        <w:rPr>
          <w:color w:val="231F20"/>
          <w:spacing w:val="23"/>
          <w:sz w:val="24"/>
          <w:szCs w:val="24"/>
        </w:rPr>
        <w:t xml:space="preserve"> </w:t>
      </w:r>
      <w:r w:rsidRPr="0075007A">
        <w:rPr>
          <w:color w:val="231F20"/>
          <w:sz w:val="24"/>
          <w:szCs w:val="24"/>
        </w:rPr>
        <w:t>as</w:t>
      </w:r>
      <w:r w:rsidRPr="0075007A">
        <w:rPr>
          <w:color w:val="231F20"/>
          <w:spacing w:val="24"/>
          <w:sz w:val="24"/>
          <w:szCs w:val="24"/>
        </w:rPr>
        <w:t xml:space="preserve"> </w:t>
      </w:r>
      <w:r w:rsidRPr="0075007A">
        <w:rPr>
          <w:color w:val="231F20"/>
          <w:sz w:val="24"/>
          <w:szCs w:val="24"/>
        </w:rPr>
        <w:t>compared</w:t>
      </w:r>
      <w:r w:rsidRPr="0075007A">
        <w:rPr>
          <w:color w:val="231F20"/>
          <w:spacing w:val="23"/>
          <w:sz w:val="24"/>
          <w:szCs w:val="24"/>
        </w:rPr>
        <w:t xml:space="preserve"> </w:t>
      </w:r>
      <w:r w:rsidRPr="0075007A">
        <w:rPr>
          <w:color w:val="231F20"/>
          <w:sz w:val="24"/>
          <w:szCs w:val="24"/>
        </w:rPr>
        <w:t>to</w:t>
      </w:r>
      <w:r w:rsidRPr="0075007A">
        <w:rPr>
          <w:color w:val="231F20"/>
          <w:spacing w:val="24"/>
          <w:sz w:val="24"/>
          <w:szCs w:val="24"/>
        </w:rPr>
        <w:t xml:space="preserve"> </w:t>
      </w:r>
      <w:r w:rsidRPr="0075007A">
        <w:rPr>
          <w:color w:val="231F20"/>
          <w:sz w:val="24"/>
          <w:szCs w:val="24"/>
        </w:rPr>
        <w:t>A</w:t>
      </w:r>
      <w:r w:rsidRPr="0075007A">
        <w:rPr>
          <w:color w:val="231F20"/>
          <w:spacing w:val="24"/>
          <w:sz w:val="24"/>
          <w:szCs w:val="24"/>
        </w:rPr>
        <w:t xml:space="preserve"> </w:t>
      </w:r>
      <w:r w:rsidRPr="0075007A">
        <w:rPr>
          <w:color w:val="231F20"/>
          <w:spacing w:val="-3"/>
          <w:sz w:val="24"/>
          <w:szCs w:val="24"/>
        </w:rPr>
        <w:t>Company.</w:t>
      </w:r>
    </w:p>
    <w:p w:rsidR="003E0909" w:rsidRPr="0075007A" w:rsidRDefault="003E0909" w:rsidP="003E0909">
      <w:pPr>
        <w:pStyle w:val="Heading2"/>
        <w:spacing w:before="183"/>
        <w:jc w:val="both"/>
        <w:rPr>
          <w:sz w:val="24"/>
          <w:szCs w:val="24"/>
        </w:rPr>
      </w:pPr>
      <w:bookmarkStart w:id="10" w:name="_TOC_250302"/>
      <w:bookmarkEnd w:id="10"/>
      <w:r w:rsidRPr="0075007A">
        <w:rPr>
          <w:color w:val="231F20"/>
          <w:sz w:val="24"/>
          <w:szCs w:val="24"/>
        </w:rPr>
        <w:t>Uses of Operating Leverage</w:t>
      </w:r>
    </w:p>
    <w:p w:rsidR="003E0909" w:rsidRPr="0075007A" w:rsidRDefault="003E0909" w:rsidP="003E0909">
      <w:pPr>
        <w:pStyle w:val="BodyText"/>
        <w:spacing w:before="56" w:line="259" w:lineRule="auto"/>
        <w:ind w:left="160" w:right="1496"/>
        <w:jc w:val="both"/>
        <w:rPr>
          <w:sz w:val="24"/>
          <w:szCs w:val="24"/>
        </w:rPr>
      </w:pPr>
      <w:r w:rsidRPr="0075007A">
        <w:rPr>
          <w:color w:val="231F20"/>
          <w:sz w:val="24"/>
          <w:szCs w:val="24"/>
        </w:rPr>
        <w:t>Operating leverage is one of the techniques to measure the impact  of changes in sales  which</w:t>
      </w:r>
      <w:r w:rsidRPr="0075007A">
        <w:rPr>
          <w:color w:val="231F20"/>
          <w:spacing w:val="26"/>
          <w:sz w:val="24"/>
          <w:szCs w:val="24"/>
        </w:rPr>
        <w:t xml:space="preserve"> </w:t>
      </w:r>
      <w:r w:rsidRPr="0075007A">
        <w:rPr>
          <w:color w:val="231F20"/>
          <w:sz w:val="24"/>
          <w:szCs w:val="24"/>
        </w:rPr>
        <w:t>lead</w:t>
      </w:r>
      <w:r w:rsidRPr="0075007A">
        <w:rPr>
          <w:color w:val="231F20"/>
          <w:spacing w:val="27"/>
          <w:sz w:val="24"/>
          <w:szCs w:val="24"/>
        </w:rPr>
        <w:t xml:space="preserve"> </w:t>
      </w:r>
      <w:r w:rsidRPr="0075007A">
        <w:rPr>
          <w:color w:val="231F20"/>
          <w:sz w:val="24"/>
          <w:szCs w:val="24"/>
        </w:rPr>
        <w:t>for</w:t>
      </w:r>
      <w:r w:rsidRPr="0075007A">
        <w:rPr>
          <w:color w:val="231F20"/>
          <w:spacing w:val="26"/>
          <w:sz w:val="24"/>
          <w:szCs w:val="24"/>
        </w:rPr>
        <w:t xml:space="preserve"> </w:t>
      </w:r>
      <w:r w:rsidRPr="0075007A">
        <w:rPr>
          <w:color w:val="231F20"/>
          <w:sz w:val="24"/>
          <w:szCs w:val="24"/>
        </w:rPr>
        <w:t>change</w:t>
      </w:r>
      <w:r w:rsidRPr="0075007A">
        <w:rPr>
          <w:color w:val="231F20"/>
          <w:spacing w:val="27"/>
          <w:sz w:val="24"/>
          <w:szCs w:val="24"/>
        </w:rPr>
        <w:t xml:space="preserve"> </w:t>
      </w:r>
      <w:r w:rsidRPr="0075007A">
        <w:rPr>
          <w:color w:val="231F20"/>
          <w:sz w:val="24"/>
          <w:szCs w:val="24"/>
        </w:rPr>
        <w:t>in</w:t>
      </w:r>
      <w:r w:rsidRPr="0075007A">
        <w:rPr>
          <w:color w:val="231F20"/>
          <w:spacing w:val="26"/>
          <w:sz w:val="24"/>
          <w:szCs w:val="24"/>
        </w:rPr>
        <w:t xml:space="preserve"> </w:t>
      </w:r>
      <w:r w:rsidRPr="0075007A">
        <w:rPr>
          <w:color w:val="231F20"/>
          <w:sz w:val="24"/>
          <w:szCs w:val="24"/>
        </w:rPr>
        <w:t>the</w:t>
      </w:r>
      <w:r w:rsidRPr="0075007A">
        <w:rPr>
          <w:color w:val="231F20"/>
          <w:spacing w:val="27"/>
          <w:sz w:val="24"/>
          <w:szCs w:val="24"/>
        </w:rPr>
        <w:t xml:space="preserve"> </w:t>
      </w:r>
      <w:r w:rsidRPr="0075007A">
        <w:rPr>
          <w:color w:val="231F20"/>
          <w:sz w:val="24"/>
          <w:szCs w:val="24"/>
        </w:rPr>
        <w:t>profits</w:t>
      </w:r>
      <w:r w:rsidRPr="0075007A">
        <w:rPr>
          <w:color w:val="231F20"/>
          <w:spacing w:val="26"/>
          <w:sz w:val="24"/>
          <w:szCs w:val="24"/>
        </w:rPr>
        <w:t xml:space="preserve"> </w:t>
      </w:r>
      <w:r w:rsidRPr="0075007A">
        <w:rPr>
          <w:color w:val="231F20"/>
          <w:sz w:val="24"/>
          <w:szCs w:val="24"/>
        </w:rPr>
        <w:t>of</w:t>
      </w:r>
      <w:r w:rsidRPr="0075007A">
        <w:rPr>
          <w:color w:val="231F20"/>
          <w:spacing w:val="27"/>
          <w:sz w:val="24"/>
          <w:szCs w:val="24"/>
        </w:rPr>
        <w:t xml:space="preserve"> </w:t>
      </w:r>
      <w:r w:rsidRPr="0075007A">
        <w:rPr>
          <w:color w:val="231F20"/>
          <w:sz w:val="24"/>
          <w:szCs w:val="24"/>
        </w:rPr>
        <w:t>the</w:t>
      </w:r>
      <w:r w:rsidRPr="0075007A">
        <w:rPr>
          <w:color w:val="231F20"/>
          <w:spacing w:val="26"/>
          <w:sz w:val="24"/>
          <w:szCs w:val="24"/>
        </w:rPr>
        <w:t xml:space="preserve"> </w:t>
      </w:r>
      <w:r w:rsidRPr="0075007A">
        <w:rPr>
          <w:color w:val="231F20"/>
          <w:spacing w:val="-3"/>
          <w:sz w:val="24"/>
          <w:szCs w:val="24"/>
        </w:rPr>
        <w:t>company.</w:t>
      </w:r>
    </w:p>
    <w:p w:rsidR="003E0909" w:rsidRPr="0075007A" w:rsidRDefault="003E0909" w:rsidP="003E0909">
      <w:pPr>
        <w:rPr>
          <w:color w:val="231F20"/>
          <w:sz w:val="24"/>
          <w:szCs w:val="24"/>
        </w:rPr>
      </w:pPr>
      <w:r w:rsidRPr="0075007A">
        <w:rPr>
          <w:color w:val="231F20"/>
          <w:sz w:val="24"/>
          <w:szCs w:val="24"/>
        </w:rPr>
        <w:t>If any change in the sales, it will lead to corresponding changes in profit. Operating leverage helps to identify the position of fixed cost and variable cost.</w:t>
      </w:r>
    </w:p>
    <w:p w:rsidR="003E0909" w:rsidRPr="0075007A" w:rsidRDefault="003E0909" w:rsidP="003E0909">
      <w:pPr>
        <w:pStyle w:val="BodyText"/>
        <w:spacing w:before="166" w:line="259" w:lineRule="auto"/>
        <w:ind w:left="160" w:right="1497" w:firstLine="359"/>
        <w:rPr>
          <w:sz w:val="24"/>
          <w:szCs w:val="24"/>
        </w:rPr>
      </w:pPr>
      <w:r w:rsidRPr="0075007A">
        <w:rPr>
          <w:color w:val="231F20"/>
          <w:sz w:val="24"/>
          <w:szCs w:val="24"/>
        </w:rPr>
        <w:t>Operating leverage measures the relationship between the sales and revenue of the company during a particular period.</w:t>
      </w:r>
    </w:p>
    <w:p w:rsidR="003E0909" w:rsidRPr="0075007A" w:rsidRDefault="003E0909" w:rsidP="003E0909">
      <w:pPr>
        <w:pStyle w:val="BodyText"/>
        <w:spacing w:before="38" w:line="259" w:lineRule="auto"/>
        <w:ind w:left="160" w:right="1497" w:firstLine="359"/>
        <w:rPr>
          <w:sz w:val="24"/>
          <w:szCs w:val="24"/>
        </w:rPr>
      </w:pPr>
      <w:r w:rsidRPr="0075007A">
        <w:rPr>
          <w:color w:val="231F20"/>
          <w:sz w:val="24"/>
          <w:szCs w:val="24"/>
        </w:rPr>
        <w:t>Operating leverage helps to understand the level of fixed cost which is invested in the operating expenses of business activities.</w:t>
      </w:r>
    </w:p>
    <w:p w:rsidR="003E0909" w:rsidRPr="0075007A" w:rsidRDefault="003E0909" w:rsidP="003E0909">
      <w:pPr>
        <w:pStyle w:val="BodyText"/>
        <w:spacing w:before="38"/>
        <w:ind w:left="520"/>
        <w:rPr>
          <w:sz w:val="24"/>
          <w:szCs w:val="24"/>
        </w:rPr>
      </w:pPr>
      <w:r w:rsidRPr="0075007A">
        <w:rPr>
          <w:color w:val="231F20"/>
          <w:sz w:val="24"/>
          <w:szCs w:val="24"/>
        </w:rPr>
        <w:t>Operating leverage describes the over all position of the fixed operating cost.</w:t>
      </w:r>
    </w:p>
    <w:sectPr w:rsidR="003E0909" w:rsidRPr="0075007A" w:rsidSect="00B15D95">
      <w:pgSz w:w="12240" w:h="15840"/>
      <w:pgMar w:top="2540" w:right="300" w:bottom="280" w:left="1640" w:header="225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EBD" w:rsidRPr="00751252" w:rsidRDefault="00FA6EBD" w:rsidP="00751252">
      <w:pPr>
        <w:pStyle w:val="TableParagraph"/>
        <w:rPr>
          <w:rFonts w:asciiTheme="minorHAnsi" w:eastAsiaTheme="minorHAnsi" w:hAnsiTheme="minorHAnsi" w:cstheme="minorBidi"/>
          <w:lang w:bidi="ar-SA"/>
        </w:rPr>
      </w:pPr>
      <w:r>
        <w:separator/>
      </w:r>
    </w:p>
  </w:endnote>
  <w:endnote w:type="continuationSeparator" w:id="1">
    <w:p w:rsidR="00FA6EBD" w:rsidRPr="00751252" w:rsidRDefault="00FA6EBD" w:rsidP="00751252">
      <w:pPr>
        <w:pStyle w:val="TableParagraph"/>
        <w:rPr>
          <w:rFonts w:asciiTheme="minorHAnsi" w:eastAsiaTheme="minorHAnsi" w:hAnsiTheme="minorHAnsi" w:cstheme="minorBidi"/>
          <w:lang w:bidi="ar-S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EBD" w:rsidRPr="00751252" w:rsidRDefault="00FA6EBD" w:rsidP="00751252">
      <w:pPr>
        <w:pStyle w:val="TableParagraph"/>
        <w:rPr>
          <w:rFonts w:asciiTheme="minorHAnsi" w:eastAsiaTheme="minorHAnsi" w:hAnsiTheme="minorHAnsi" w:cstheme="minorBidi"/>
          <w:lang w:bidi="ar-SA"/>
        </w:rPr>
      </w:pPr>
      <w:r>
        <w:separator/>
      </w:r>
    </w:p>
  </w:footnote>
  <w:footnote w:type="continuationSeparator" w:id="1">
    <w:p w:rsidR="00FA6EBD" w:rsidRPr="00751252" w:rsidRDefault="00FA6EBD" w:rsidP="00751252">
      <w:pPr>
        <w:pStyle w:val="TableParagraph"/>
        <w:rPr>
          <w:rFonts w:asciiTheme="minorHAnsi" w:eastAsiaTheme="minorHAnsi" w:hAnsiTheme="minorHAnsi" w:cstheme="minorBidi"/>
          <w:lang w:bidi="ar-S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8A7B1D"/>
    <w:rsid w:val="0015576A"/>
    <w:rsid w:val="00383427"/>
    <w:rsid w:val="003E0909"/>
    <w:rsid w:val="00513BC4"/>
    <w:rsid w:val="005C14FA"/>
    <w:rsid w:val="0075007A"/>
    <w:rsid w:val="00751252"/>
    <w:rsid w:val="007E0B6C"/>
    <w:rsid w:val="008A7B1D"/>
    <w:rsid w:val="00B15D95"/>
    <w:rsid w:val="00BA580E"/>
    <w:rsid w:val="00E07A4A"/>
    <w:rsid w:val="00EE47D7"/>
    <w:rsid w:val="00F73B73"/>
    <w:rsid w:val="00FA6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C4"/>
  </w:style>
  <w:style w:type="paragraph" w:styleId="Heading1">
    <w:name w:val="heading 1"/>
    <w:basedOn w:val="Normal"/>
    <w:link w:val="Heading1Char"/>
    <w:uiPriority w:val="1"/>
    <w:qFormat/>
    <w:rsid w:val="008A7B1D"/>
    <w:pPr>
      <w:widowControl w:val="0"/>
      <w:autoSpaceDE w:val="0"/>
      <w:autoSpaceDN w:val="0"/>
      <w:spacing w:after="0" w:line="240" w:lineRule="auto"/>
      <w:ind w:left="160"/>
      <w:outlineLvl w:val="0"/>
    </w:pPr>
    <w:rPr>
      <w:rFonts w:ascii="Arial" w:eastAsia="Arial" w:hAnsi="Arial" w:cs="Arial"/>
      <w:b/>
      <w:bCs/>
      <w:sz w:val="24"/>
      <w:szCs w:val="24"/>
      <w:lang w:bidi="en-US"/>
    </w:rPr>
  </w:style>
  <w:style w:type="paragraph" w:styleId="Heading2">
    <w:name w:val="heading 2"/>
    <w:basedOn w:val="Normal"/>
    <w:link w:val="Heading2Char"/>
    <w:uiPriority w:val="1"/>
    <w:qFormat/>
    <w:rsid w:val="008A7B1D"/>
    <w:pPr>
      <w:widowControl w:val="0"/>
      <w:autoSpaceDE w:val="0"/>
      <w:autoSpaceDN w:val="0"/>
      <w:spacing w:before="153" w:after="0" w:line="240" w:lineRule="auto"/>
      <w:ind w:left="160"/>
      <w:outlineLvl w:val="1"/>
    </w:pPr>
    <w:rPr>
      <w:rFonts w:ascii="Arial" w:eastAsia="Arial" w:hAnsi="Arial" w:cs="Arial"/>
      <w:b/>
      <w:bCs/>
      <w:lang w:bidi="en-US"/>
    </w:rPr>
  </w:style>
  <w:style w:type="paragraph" w:styleId="Heading3">
    <w:name w:val="heading 3"/>
    <w:basedOn w:val="Normal"/>
    <w:next w:val="Normal"/>
    <w:link w:val="Heading3Char"/>
    <w:uiPriority w:val="9"/>
    <w:semiHidden/>
    <w:unhideWhenUsed/>
    <w:qFormat/>
    <w:rsid w:val="00E07A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B1D"/>
    <w:rPr>
      <w:rFonts w:ascii="Tahoma" w:hAnsi="Tahoma" w:cs="Tahoma"/>
      <w:sz w:val="16"/>
      <w:szCs w:val="16"/>
    </w:rPr>
  </w:style>
  <w:style w:type="character" w:customStyle="1" w:styleId="Heading1Char">
    <w:name w:val="Heading 1 Char"/>
    <w:basedOn w:val="DefaultParagraphFont"/>
    <w:link w:val="Heading1"/>
    <w:uiPriority w:val="1"/>
    <w:rsid w:val="008A7B1D"/>
    <w:rPr>
      <w:rFonts w:ascii="Arial" w:eastAsia="Arial" w:hAnsi="Arial" w:cs="Arial"/>
      <w:b/>
      <w:bCs/>
      <w:sz w:val="24"/>
      <w:szCs w:val="24"/>
      <w:lang w:bidi="en-US"/>
    </w:rPr>
  </w:style>
  <w:style w:type="character" w:customStyle="1" w:styleId="Heading2Char">
    <w:name w:val="Heading 2 Char"/>
    <w:basedOn w:val="DefaultParagraphFont"/>
    <w:link w:val="Heading2"/>
    <w:uiPriority w:val="1"/>
    <w:rsid w:val="008A7B1D"/>
    <w:rPr>
      <w:rFonts w:ascii="Arial" w:eastAsia="Arial" w:hAnsi="Arial" w:cs="Arial"/>
      <w:b/>
      <w:bCs/>
      <w:lang w:bidi="en-US"/>
    </w:rPr>
  </w:style>
  <w:style w:type="paragraph" w:styleId="BodyText">
    <w:name w:val="Body Text"/>
    <w:basedOn w:val="Normal"/>
    <w:link w:val="BodyTextChar"/>
    <w:uiPriority w:val="1"/>
    <w:qFormat/>
    <w:rsid w:val="008A7B1D"/>
    <w:pPr>
      <w:widowControl w:val="0"/>
      <w:autoSpaceDE w:val="0"/>
      <w:autoSpaceDN w:val="0"/>
      <w:spacing w:after="0" w:line="240" w:lineRule="auto"/>
    </w:pPr>
    <w:rPr>
      <w:rFonts w:ascii="Cambria" w:eastAsia="Cambria" w:hAnsi="Cambria" w:cs="Cambria"/>
      <w:lang w:bidi="en-US"/>
    </w:rPr>
  </w:style>
  <w:style w:type="character" w:customStyle="1" w:styleId="BodyTextChar">
    <w:name w:val="Body Text Char"/>
    <w:basedOn w:val="DefaultParagraphFont"/>
    <w:link w:val="BodyText"/>
    <w:uiPriority w:val="1"/>
    <w:rsid w:val="008A7B1D"/>
    <w:rPr>
      <w:rFonts w:ascii="Cambria" w:eastAsia="Cambria" w:hAnsi="Cambria" w:cs="Cambria"/>
      <w:lang w:bidi="en-US"/>
    </w:rPr>
  </w:style>
  <w:style w:type="paragraph" w:customStyle="1" w:styleId="TableParagraph">
    <w:name w:val="Table Paragraph"/>
    <w:basedOn w:val="Normal"/>
    <w:uiPriority w:val="1"/>
    <w:qFormat/>
    <w:rsid w:val="003E0909"/>
    <w:pPr>
      <w:widowControl w:val="0"/>
      <w:autoSpaceDE w:val="0"/>
      <w:autoSpaceDN w:val="0"/>
      <w:spacing w:after="0" w:line="240" w:lineRule="auto"/>
    </w:pPr>
    <w:rPr>
      <w:rFonts w:ascii="Arial" w:eastAsia="Arial" w:hAnsi="Arial" w:cs="Arial"/>
      <w:lang w:bidi="en-US"/>
    </w:rPr>
  </w:style>
  <w:style w:type="paragraph" w:styleId="TOC5">
    <w:name w:val="toc 5"/>
    <w:basedOn w:val="Normal"/>
    <w:uiPriority w:val="1"/>
    <w:qFormat/>
    <w:rsid w:val="003E0909"/>
    <w:pPr>
      <w:widowControl w:val="0"/>
      <w:autoSpaceDE w:val="0"/>
      <w:autoSpaceDN w:val="0"/>
      <w:spacing w:before="9" w:after="0" w:line="240" w:lineRule="auto"/>
      <w:ind w:left="971" w:hanging="318"/>
    </w:pPr>
    <w:rPr>
      <w:rFonts w:ascii="Arial" w:eastAsia="Arial" w:hAnsi="Arial" w:cs="Arial"/>
      <w:sz w:val="20"/>
      <w:szCs w:val="20"/>
      <w:lang w:bidi="en-US"/>
    </w:rPr>
  </w:style>
  <w:style w:type="character" w:customStyle="1" w:styleId="Heading3Char">
    <w:name w:val="Heading 3 Char"/>
    <w:basedOn w:val="DefaultParagraphFont"/>
    <w:link w:val="Heading3"/>
    <w:uiPriority w:val="9"/>
    <w:semiHidden/>
    <w:rsid w:val="00E07A4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7512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252"/>
  </w:style>
  <w:style w:type="paragraph" w:styleId="Footer">
    <w:name w:val="footer"/>
    <w:basedOn w:val="Normal"/>
    <w:link w:val="FooterChar"/>
    <w:uiPriority w:val="99"/>
    <w:semiHidden/>
    <w:unhideWhenUsed/>
    <w:rsid w:val="007512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12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 Sai Ram</dc:creator>
  <cp:lastModifiedBy>Om Sai Ram</cp:lastModifiedBy>
  <cp:revision>4</cp:revision>
  <dcterms:created xsi:type="dcterms:W3CDTF">2000-12-31T22:28:00Z</dcterms:created>
  <dcterms:modified xsi:type="dcterms:W3CDTF">2000-12-31T23:39:00Z</dcterms:modified>
</cp:coreProperties>
</file>